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29"/>
        <w:gridCol w:w="6321"/>
      </w:tblGrid>
      <w:tr w:rsidR="00F44720" w14:paraId="594E6B89" w14:textId="77777777" w:rsidTr="00527BB7">
        <w:tc>
          <w:tcPr>
            <w:tcW w:w="3078" w:type="dxa"/>
          </w:tcPr>
          <w:p w14:paraId="594E6B87" w14:textId="77777777" w:rsidR="00F44720" w:rsidRDefault="00F44720" w:rsidP="00527BB7">
            <w:pPr>
              <w:spacing w:after="0"/>
              <w:rPr>
                <w:b/>
              </w:rPr>
            </w:pPr>
            <w:r w:rsidRPr="00A0501E">
              <w:rPr>
                <w:b/>
              </w:rPr>
              <w:t>Institution Name:</w:t>
            </w:r>
          </w:p>
        </w:tc>
        <w:tc>
          <w:tcPr>
            <w:tcW w:w="6498" w:type="dxa"/>
          </w:tcPr>
          <w:p w14:paraId="594E6B88" w14:textId="77777777" w:rsidR="00F44720" w:rsidRDefault="00F44720" w:rsidP="00527BB7">
            <w:pPr>
              <w:spacing w:after="0"/>
              <w:rPr>
                <w:b/>
              </w:rPr>
            </w:pPr>
          </w:p>
        </w:tc>
      </w:tr>
      <w:tr w:rsidR="00F44720" w14:paraId="594E6B8C" w14:textId="77777777" w:rsidTr="00527BB7">
        <w:tc>
          <w:tcPr>
            <w:tcW w:w="3078" w:type="dxa"/>
          </w:tcPr>
          <w:p w14:paraId="594E6B8A" w14:textId="77777777" w:rsidR="00F44720" w:rsidRDefault="00F44720" w:rsidP="00527BB7">
            <w:pPr>
              <w:spacing w:after="0"/>
              <w:rPr>
                <w:b/>
              </w:rPr>
            </w:pPr>
            <w:r w:rsidRPr="00A0501E">
              <w:rPr>
                <w:b/>
              </w:rPr>
              <w:t>Institutional Course Name:</w:t>
            </w:r>
          </w:p>
        </w:tc>
        <w:tc>
          <w:tcPr>
            <w:tcW w:w="6498" w:type="dxa"/>
          </w:tcPr>
          <w:p w14:paraId="594E6B8B" w14:textId="77777777" w:rsidR="00F44720" w:rsidRDefault="00F44720" w:rsidP="00527BB7">
            <w:pPr>
              <w:spacing w:after="0"/>
              <w:rPr>
                <w:b/>
              </w:rPr>
            </w:pPr>
          </w:p>
        </w:tc>
      </w:tr>
      <w:tr w:rsidR="00F44720" w14:paraId="594E6B8F" w14:textId="77777777" w:rsidTr="00527BB7">
        <w:tc>
          <w:tcPr>
            <w:tcW w:w="3078" w:type="dxa"/>
          </w:tcPr>
          <w:p w14:paraId="594E6B8D" w14:textId="77777777" w:rsidR="00F44720" w:rsidRDefault="00F44720" w:rsidP="00527BB7">
            <w:pPr>
              <w:spacing w:after="0"/>
              <w:rPr>
                <w:b/>
              </w:rPr>
            </w:pPr>
            <w:r w:rsidRPr="00A0501E">
              <w:rPr>
                <w:b/>
              </w:rPr>
              <w:t>Institutional Course Number:</w:t>
            </w:r>
          </w:p>
        </w:tc>
        <w:tc>
          <w:tcPr>
            <w:tcW w:w="6498" w:type="dxa"/>
          </w:tcPr>
          <w:p w14:paraId="594E6B8E" w14:textId="77777777" w:rsidR="00F44720" w:rsidRDefault="00F44720" w:rsidP="00527BB7">
            <w:pPr>
              <w:spacing w:after="0"/>
              <w:rPr>
                <w:b/>
              </w:rPr>
            </w:pPr>
          </w:p>
        </w:tc>
      </w:tr>
      <w:tr w:rsidR="00F44720" w14:paraId="594E6B92" w14:textId="77777777" w:rsidTr="00527BB7">
        <w:tc>
          <w:tcPr>
            <w:tcW w:w="3078" w:type="dxa"/>
          </w:tcPr>
          <w:p w14:paraId="594E6B90" w14:textId="77777777" w:rsidR="00F44720" w:rsidRPr="00A0501E" w:rsidRDefault="00F44720" w:rsidP="00527BB7">
            <w:pPr>
              <w:spacing w:after="0"/>
              <w:rPr>
                <w:b/>
              </w:rPr>
            </w:pPr>
            <w:r>
              <w:rPr>
                <w:b/>
              </w:rPr>
              <w:t>Textbook (if applicable):</w:t>
            </w:r>
          </w:p>
        </w:tc>
        <w:tc>
          <w:tcPr>
            <w:tcW w:w="6498" w:type="dxa"/>
          </w:tcPr>
          <w:p w14:paraId="594E6B91" w14:textId="77777777" w:rsidR="00F44720" w:rsidRDefault="00F44720" w:rsidP="00527BB7">
            <w:pPr>
              <w:spacing w:after="0"/>
              <w:rPr>
                <w:b/>
              </w:rPr>
            </w:pPr>
          </w:p>
        </w:tc>
      </w:tr>
    </w:tbl>
    <w:p w14:paraId="594E6B93" w14:textId="77777777" w:rsidR="00F44720" w:rsidRPr="00A0501E" w:rsidRDefault="00F44720" w:rsidP="00F44720">
      <w:pPr>
        <w:spacing w:after="0"/>
        <w:rPr>
          <w:b/>
        </w:rPr>
      </w:pPr>
    </w:p>
    <w:p w14:paraId="594E6B94" w14:textId="77777777" w:rsidR="00F44720" w:rsidRDefault="005552B8" w:rsidP="00F44720">
      <w:pPr>
        <w:spacing w:after="200"/>
        <w:jc w:val="center"/>
        <w:rPr>
          <w:b/>
        </w:rPr>
      </w:pPr>
      <w:r>
        <w:rPr>
          <w:b/>
        </w:rPr>
        <w:t>Statistical Reasoning</w:t>
      </w:r>
      <w:r w:rsidR="009877AF">
        <w:rPr>
          <w:b/>
        </w:rPr>
        <w:t xml:space="preserve"> Institutional Course </w:t>
      </w:r>
      <w:r w:rsidR="00BA37C5">
        <w:rPr>
          <w:b/>
        </w:rPr>
        <w:t xml:space="preserve">Alignment </w:t>
      </w:r>
      <w:r w:rsidR="009877AF">
        <w:rPr>
          <w:b/>
        </w:rPr>
        <w:t>Form</w:t>
      </w:r>
    </w:p>
    <w:p w14:paraId="594E6B95" w14:textId="77777777" w:rsidR="00AE6676" w:rsidRPr="00E56437" w:rsidRDefault="00AE6676" w:rsidP="00AE6676">
      <w:pPr>
        <w:spacing w:after="200"/>
      </w:pPr>
      <w:r>
        <w:rPr>
          <w:b/>
        </w:rPr>
        <w:t>OVERVIEW:</w:t>
      </w:r>
      <w:r>
        <w:t xml:space="preserve">  The purpose of this form is to allow each institution to demonstrate that their math course aligns with the Missouri Math Pathways Initiative and can be included in the general education core curriculum – The Core 42 – as outlined in SB 997, meaning that this course is guaranteed to transfer across all public institutions.  </w:t>
      </w:r>
    </w:p>
    <w:p w14:paraId="594E6B96" w14:textId="6C2FC5DD" w:rsidR="00AE6676" w:rsidRDefault="00AE6676" w:rsidP="00AE6676">
      <w:pPr>
        <w:spacing w:after="200"/>
        <w:jc w:val="both"/>
      </w:pPr>
      <w:r w:rsidRPr="001864B7">
        <w:rPr>
          <w:b/>
        </w:rPr>
        <w:t xml:space="preserve">INSTRUCTIONS: </w:t>
      </w:r>
      <w:r>
        <w:rPr>
          <w:b/>
        </w:rPr>
        <w:t xml:space="preserve"> </w:t>
      </w:r>
      <w:r>
        <w:t xml:space="preserve">Please ensure that the institutional course syllabus meets the following Statewide Student Learning Outcomes (SLOs). </w:t>
      </w:r>
      <w:r w:rsidR="005B702C">
        <w:t xml:space="preserve">Please indicate in the space provided that your </w:t>
      </w:r>
      <w:r w:rsidR="004B6033">
        <w:t>course</w:t>
      </w:r>
      <w:r w:rsidR="00AF6747">
        <w:t xml:space="preserve"> meets</w:t>
      </w:r>
      <w:r w:rsidR="006518A8">
        <w:t xml:space="preserve"> each SLO.</w:t>
      </w:r>
    </w:p>
    <w:p w14:paraId="594E6B97" w14:textId="5AA492D1" w:rsidR="00AE6676" w:rsidRDefault="00AE6676" w:rsidP="00AE6676">
      <w:pPr>
        <w:spacing w:after="200"/>
        <w:jc w:val="both"/>
        <w:rPr>
          <w:b/>
        </w:rPr>
      </w:pPr>
      <w:r>
        <w:t xml:space="preserve">Once the institutional course has been reviewed and compared against the Statewide SLOs, please sign in the space indicated at the bottom of this cover page and return the completed document (and course syllabus) to </w:t>
      </w:r>
      <w:r w:rsidR="0037175F">
        <w:t>Joie Hendricks</w:t>
      </w:r>
      <w:r w:rsidR="00C3704F">
        <w:t xml:space="preserve">, Senior Program Specialist, Missouri </w:t>
      </w:r>
      <w:r w:rsidR="008F0D12">
        <w:t>D</w:t>
      </w:r>
      <w:r w:rsidR="00C3704F">
        <w:t>epartment of Higher Education and Workforce Development</w:t>
      </w:r>
      <w:r w:rsidR="00020A53">
        <w:t xml:space="preserve"> </w:t>
      </w:r>
      <w:r w:rsidR="00784D57">
        <w:t>(</w:t>
      </w:r>
      <w:hyperlink r:id="rId7" w:history="1">
        <w:r w:rsidR="00020A53" w:rsidRPr="002E2F4D">
          <w:rPr>
            <w:rStyle w:val="Hyperlink"/>
          </w:rPr>
          <w:t>Joie.Hendricks@dhewd.mo.gov</w:t>
        </w:r>
      </w:hyperlink>
      <w:r w:rsidR="00020A53">
        <w:t>).</w:t>
      </w:r>
      <w:r w:rsidR="0037175F">
        <w:t xml:space="preserve"> </w:t>
      </w:r>
    </w:p>
    <w:p w14:paraId="594E6B98" w14:textId="77777777" w:rsidR="00AE6676" w:rsidRDefault="00AE6676" w:rsidP="00AE6676">
      <w:pPr>
        <w:spacing w:after="200"/>
        <w:jc w:val="both"/>
        <w:rPr>
          <w:b/>
        </w:rPr>
      </w:pPr>
    </w:p>
    <w:p w14:paraId="594E6B99" w14:textId="77777777" w:rsidR="00AE6676" w:rsidRDefault="00AE6676" w:rsidP="00AE6676">
      <w:pPr>
        <w:spacing w:after="200"/>
        <w:jc w:val="both"/>
        <w:rPr>
          <w:b/>
        </w:rPr>
      </w:pPr>
    </w:p>
    <w:p w14:paraId="594E6B9A" w14:textId="77777777" w:rsidR="00AE6676" w:rsidRDefault="00AE6676" w:rsidP="00AE6676">
      <w:pPr>
        <w:spacing w:after="200"/>
        <w:jc w:val="both"/>
        <w:rPr>
          <w:b/>
        </w:rPr>
      </w:pPr>
    </w:p>
    <w:p w14:paraId="594E6B9B" w14:textId="77777777" w:rsidR="00AE6676" w:rsidRDefault="00AE6676" w:rsidP="00AE6676">
      <w:pPr>
        <w:spacing w:after="200"/>
        <w:jc w:val="both"/>
        <w:rPr>
          <w:b/>
        </w:rPr>
      </w:pPr>
    </w:p>
    <w:p w14:paraId="594E6B9C" w14:textId="77777777" w:rsidR="00AE6676" w:rsidRDefault="00AE6676" w:rsidP="00AE6676">
      <w:pPr>
        <w:spacing w:after="200"/>
        <w:jc w:val="both"/>
        <w:rPr>
          <w:b/>
        </w:rPr>
      </w:pPr>
    </w:p>
    <w:p w14:paraId="594E6B9D" w14:textId="77777777" w:rsidR="00AE6676" w:rsidRDefault="00AE6676" w:rsidP="00AE6676">
      <w:pPr>
        <w:spacing w:after="200"/>
        <w:jc w:val="both"/>
        <w:rPr>
          <w:b/>
        </w:rPr>
      </w:pPr>
    </w:p>
    <w:p w14:paraId="594E6B9E" w14:textId="77777777" w:rsidR="00AE6676" w:rsidRDefault="00AE6676" w:rsidP="00AE6676">
      <w:pPr>
        <w:spacing w:after="200"/>
        <w:jc w:val="both"/>
        <w:rPr>
          <w:b/>
        </w:rPr>
      </w:pPr>
    </w:p>
    <w:p w14:paraId="594E6B9F" w14:textId="77777777" w:rsidR="00AE6676" w:rsidRDefault="00AE6676" w:rsidP="00AE6676">
      <w:pPr>
        <w:spacing w:after="200"/>
        <w:jc w:val="both"/>
        <w:rPr>
          <w:b/>
        </w:rPr>
      </w:pPr>
    </w:p>
    <w:p w14:paraId="60CDA566" w14:textId="77777777" w:rsidR="005B39AC" w:rsidRDefault="005B39AC" w:rsidP="00AE6676">
      <w:pPr>
        <w:spacing w:after="200"/>
        <w:jc w:val="both"/>
        <w:rPr>
          <w:b/>
        </w:rPr>
      </w:pPr>
    </w:p>
    <w:p w14:paraId="594E6BA0" w14:textId="77777777" w:rsidR="00AE6676" w:rsidRDefault="00AE6676" w:rsidP="00AE6676">
      <w:pPr>
        <w:spacing w:after="200"/>
        <w:jc w:val="both"/>
        <w:rPr>
          <w:b/>
        </w:rPr>
      </w:pPr>
    </w:p>
    <w:p w14:paraId="594E6BA1" w14:textId="77777777" w:rsidR="00AE6676" w:rsidRDefault="00AE6676" w:rsidP="00AE6676">
      <w:pPr>
        <w:spacing w:after="200"/>
        <w:jc w:val="both"/>
        <w:rPr>
          <w:b/>
        </w:rPr>
      </w:pPr>
    </w:p>
    <w:p w14:paraId="594E6BA2" w14:textId="77777777" w:rsidR="00AE6676" w:rsidRPr="00801EB1" w:rsidRDefault="00AE6676" w:rsidP="00AE6676">
      <w:pPr>
        <w:spacing w:after="200"/>
        <w:jc w:val="both"/>
        <w:rPr>
          <w:b/>
        </w:rPr>
      </w:pPr>
    </w:p>
    <w:tbl>
      <w:tblPr>
        <w:tblStyle w:val="TableGrid"/>
        <w:tblW w:w="0" w:type="auto"/>
        <w:tblInd w:w="198" w:type="dxa"/>
        <w:tblLook w:val="04A0" w:firstRow="1" w:lastRow="0" w:firstColumn="1" w:lastColumn="0" w:noHBand="0" w:noVBand="1"/>
      </w:tblPr>
      <w:tblGrid>
        <w:gridCol w:w="6908"/>
        <w:gridCol w:w="2244"/>
      </w:tblGrid>
      <w:tr w:rsidR="00AE6676" w:rsidRPr="001864B7" w14:paraId="594E6BA4" w14:textId="77777777" w:rsidTr="00A51454">
        <w:tc>
          <w:tcPr>
            <w:tcW w:w="9180" w:type="dxa"/>
            <w:gridSpan w:val="2"/>
            <w:vAlign w:val="center"/>
          </w:tcPr>
          <w:p w14:paraId="594E6BA3" w14:textId="77777777" w:rsidR="00AE6676" w:rsidRPr="001864B7" w:rsidRDefault="00AE6676" w:rsidP="00A51454">
            <w:r w:rsidRPr="001864B7">
              <w:t>Department Chair Name (print):</w:t>
            </w:r>
          </w:p>
        </w:tc>
      </w:tr>
      <w:tr w:rsidR="00AE6676" w:rsidRPr="001864B7" w14:paraId="594E6BA7" w14:textId="77777777" w:rsidTr="00A51454">
        <w:tc>
          <w:tcPr>
            <w:tcW w:w="6930" w:type="dxa"/>
            <w:vAlign w:val="center"/>
          </w:tcPr>
          <w:p w14:paraId="594E6BA5" w14:textId="77777777" w:rsidR="00AE6676" w:rsidRPr="001864B7" w:rsidRDefault="00AE6676" w:rsidP="00A51454">
            <w:r w:rsidRPr="001864B7">
              <w:t>Signature:</w:t>
            </w:r>
          </w:p>
        </w:tc>
        <w:tc>
          <w:tcPr>
            <w:tcW w:w="2250" w:type="dxa"/>
            <w:vAlign w:val="center"/>
          </w:tcPr>
          <w:p w14:paraId="594E6BA6" w14:textId="77777777" w:rsidR="00AE6676" w:rsidRPr="001864B7" w:rsidRDefault="00AE6676" w:rsidP="00A51454">
            <w:r w:rsidRPr="001864B7">
              <w:t>Date:</w:t>
            </w:r>
          </w:p>
        </w:tc>
      </w:tr>
    </w:tbl>
    <w:p w14:paraId="594E6BA8" w14:textId="77777777" w:rsidR="00AE6676" w:rsidRDefault="00AE6676" w:rsidP="0095004E">
      <w:pPr>
        <w:spacing w:after="200"/>
        <w:jc w:val="both"/>
      </w:pPr>
    </w:p>
    <w:p w14:paraId="594E6BA9" w14:textId="77777777" w:rsidR="00AE6676" w:rsidRPr="00AE6676" w:rsidRDefault="00AE6676" w:rsidP="00AE6676">
      <w:pPr>
        <w:spacing w:after="200" w:line="276" w:lineRule="auto"/>
        <w:jc w:val="center"/>
        <w:rPr>
          <w:b/>
        </w:rPr>
      </w:pPr>
      <w:r>
        <w:rPr>
          <w:b/>
        </w:rPr>
        <w:lastRenderedPageBreak/>
        <w:t>Statistical Reasoning</w:t>
      </w:r>
    </w:p>
    <w:p w14:paraId="594E6BAA" w14:textId="77777777" w:rsidR="0095004E" w:rsidRPr="00DA17EC" w:rsidRDefault="0095004E" w:rsidP="0095004E">
      <w:pPr>
        <w:spacing w:after="200"/>
        <w:rPr>
          <w:rFonts w:cs="Times New Roman"/>
        </w:rPr>
      </w:pPr>
      <w:r w:rsidRPr="0095004E">
        <w:rPr>
          <w:b/>
        </w:rPr>
        <w:t>COURSE OVERVIEW:</w:t>
      </w:r>
      <w:r>
        <w:t xml:space="preserve"> </w:t>
      </w:r>
      <w:r w:rsidRPr="00DA17EC">
        <w:rPr>
          <w:rFonts w:cs="Times New Roman"/>
          <w:i/>
        </w:rPr>
        <w:t xml:space="preserve">Statistical Reasoning </w:t>
      </w:r>
      <w:r w:rsidRPr="00DA17EC">
        <w:rPr>
          <w:rFonts w:cs="Times New Roman"/>
        </w:rPr>
        <w:t xml:space="preserve">is a first course in statistics for students whose college and career paths require knowledge of the fundamentals of the collection, </w:t>
      </w:r>
      <w:proofErr w:type="gramStart"/>
      <w:r w:rsidRPr="00DA17EC">
        <w:rPr>
          <w:rFonts w:cs="Times New Roman"/>
        </w:rPr>
        <w:t>analysis</w:t>
      </w:r>
      <w:proofErr w:type="gramEnd"/>
      <w:r w:rsidRPr="00DA17EC">
        <w:rPr>
          <w:rFonts w:cs="Times New Roman"/>
        </w:rPr>
        <w:t xml:space="preserve"> and interpretation of data.</w:t>
      </w:r>
    </w:p>
    <w:p w14:paraId="27F1EFC3" w14:textId="77777777" w:rsidR="00B85F89" w:rsidRPr="0002093B" w:rsidRDefault="00B85F89" w:rsidP="00B85F89">
      <w:pPr>
        <w:pStyle w:val="Default"/>
        <w:rPr>
          <w:color w:val="auto"/>
          <w:sz w:val="16"/>
          <w:szCs w:val="16"/>
        </w:rPr>
      </w:pPr>
      <w:r w:rsidRPr="00560E6A">
        <w:rPr>
          <w:color w:val="auto"/>
          <w:sz w:val="22"/>
          <w:szCs w:val="22"/>
        </w:rPr>
        <w:t xml:space="preserve">Topics include the presentation of interpretation of univariate and bivariate data using graphical and numerical methods, probability, continuous probability distributions, linear regression, an understanding of good practice in study design, statistical inference, confidence intervals and hypothesis testing. Emphasis is placed on the development of statistical thinking and the use of technology. </w:t>
      </w:r>
    </w:p>
    <w:p w14:paraId="0787CDEE" w14:textId="77777777" w:rsidR="00B85F89" w:rsidRPr="0002093B" w:rsidRDefault="00B85F89" w:rsidP="00B85F89">
      <w:pPr>
        <w:pStyle w:val="Default"/>
        <w:rPr>
          <w:color w:val="auto"/>
          <w:sz w:val="16"/>
          <w:szCs w:val="16"/>
        </w:rPr>
      </w:pPr>
    </w:p>
    <w:p w14:paraId="594E6BAC" w14:textId="7FF3DEE0" w:rsidR="00A96A0D" w:rsidRDefault="00B85F89" w:rsidP="00B85F89">
      <w:pPr>
        <w:spacing w:after="200"/>
        <w:rPr>
          <w:rFonts w:cs="Times New Roman"/>
        </w:rPr>
      </w:pPr>
      <w:r w:rsidRPr="00560E6A">
        <w:t>Students should develop an appreciation of the need for data to make good decisions and an understanding of the dangers inherent in basing decisions on anecdotal evidence rather than data. To that end, students will use appropriate data-collection methods and statistical techniques to support reasonable conclusions through the following student learning outcomes.</w:t>
      </w:r>
    </w:p>
    <w:p w14:paraId="594E6BAE" w14:textId="77777777" w:rsidR="005552B8" w:rsidRPr="00DA17EC" w:rsidRDefault="005552B8" w:rsidP="005552B8">
      <w:pPr>
        <w:numPr>
          <w:ilvl w:val="0"/>
          <w:numId w:val="1"/>
        </w:numPr>
        <w:spacing w:after="0"/>
        <w:ind w:left="360" w:hanging="360"/>
        <w:contextualSpacing/>
        <w:rPr>
          <w:rFonts w:cs="Times New Roman"/>
        </w:rPr>
      </w:pPr>
      <w:r w:rsidRPr="00DA17EC">
        <w:rPr>
          <w:rFonts w:cs="Times New Roman"/>
          <w:b/>
        </w:rPr>
        <w:t>Data Exploration</w:t>
      </w:r>
    </w:p>
    <w:p w14:paraId="594E6BAF" w14:textId="77777777" w:rsidR="005552B8" w:rsidRPr="005552B8" w:rsidRDefault="005552B8" w:rsidP="005552B8">
      <w:pPr>
        <w:spacing w:after="0"/>
        <w:rPr>
          <w:rFonts w:cs="Times New Roman"/>
        </w:rPr>
      </w:pPr>
      <w:r w:rsidRPr="00DA17EC">
        <w:rPr>
          <w:rFonts w:cs="Times New Roman"/>
        </w:rPr>
        <w:t>Students will analyze data using graphical and numerical methods to study patterns and departures from patterns, using appropriate technology as needed.  Specifically, students will be able to:</w:t>
      </w:r>
    </w:p>
    <w:tbl>
      <w:tblPr>
        <w:tblStyle w:val="TableGrid"/>
        <w:tblW w:w="0" w:type="auto"/>
        <w:tblInd w:w="198" w:type="dxa"/>
        <w:tblLook w:val="04A0" w:firstRow="1" w:lastRow="0" w:firstColumn="1" w:lastColumn="0" w:noHBand="0" w:noVBand="1"/>
      </w:tblPr>
      <w:tblGrid>
        <w:gridCol w:w="4576"/>
        <w:gridCol w:w="4576"/>
      </w:tblGrid>
      <w:tr w:rsidR="005552B8" w:rsidRPr="00A0501E" w14:paraId="594E6BB2" w14:textId="77777777" w:rsidTr="00AE6676">
        <w:tc>
          <w:tcPr>
            <w:tcW w:w="4590" w:type="dxa"/>
            <w:tcBorders>
              <w:bottom w:val="single" w:sz="4" w:space="0" w:color="auto"/>
            </w:tcBorders>
            <w:vAlign w:val="bottom"/>
          </w:tcPr>
          <w:p w14:paraId="594E6BB0" w14:textId="77777777" w:rsidR="005552B8" w:rsidRPr="00A0501E" w:rsidRDefault="005552B8" w:rsidP="00527BB7">
            <w:pPr>
              <w:spacing w:after="0"/>
              <w:contextualSpacing/>
              <w:jc w:val="center"/>
              <w:rPr>
                <w:b/>
              </w:rPr>
            </w:pPr>
            <w:r w:rsidRPr="00A0501E">
              <w:rPr>
                <w:b/>
              </w:rPr>
              <w:t>Statewide SLOs</w:t>
            </w:r>
          </w:p>
        </w:tc>
        <w:tc>
          <w:tcPr>
            <w:tcW w:w="4590" w:type="dxa"/>
            <w:tcBorders>
              <w:bottom w:val="single" w:sz="4" w:space="0" w:color="auto"/>
            </w:tcBorders>
            <w:vAlign w:val="bottom"/>
          </w:tcPr>
          <w:p w14:paraId="594E6BB1" w14:textId="77777777" w:rsidR="005552B8" w:rsidRPr="00A0501E" w:rsidRDefault="005552B8" w:rsidP="00527BB7">
            <w:pPr>
              <w:spacing w:after="0"/>
              <w:contextualSpacing/>
              <w:jc w:val="center"/>
              <w:rPr>
                <w:b/>
              </w:rPr>
            </w:pPr>
            <w:r w:rsidRPr="00A0501E">
              <w:rPr>
                <w:b/>
              </w:rPr>
              <w:t>Institutional Alignment</w:t>
            </w:r>
          </w:p>
        </w:tc>
      </w:tr>
      <w:tr w:rsidR="00AE6676" w:rsidRPr="00A0501E" w14:paraId="594E6BB4" w14:textId="77777777" w:rsidTr="00AE6676">
        <w:tc>
          <w:tcPr>
            <w:tcW w:w="9180" w:type="dxa"/>
            <w:gridSpan w:val="2"/>
            <w:tcBorders>
              <w:left w:val="nil"/>
              <w:right w:val="nil"/>
            </w:tcBorders>
            <w:vAlign w:val="center"/>
          </w:tcPr>
          <w:p w14:paraId="594E6BB3" w14:textId="77777777" w:rsidR="00AE6676" w:rsidRPr="00A0501E" w:rsidRDefault="00AE6676" w:rsidP="00527BB7">
            <w:pPr>
              <w:spacing w:after="0"/>
              <w:contextualSpacing/>
            </w:pPr>
            <w:r>
              <w:rPr>
                <w:rFonts w:cs="Times New Roman"/>
                <w:b/>
              </w:rPr>
              <w:t xml:space="preserve">I.A </w:t>
            </w:r>
            <w:r w:rsidRPr="00DA17EC">
              <w:rPr>
                <w:rFonts w:cs="Times New Roman"/>
                <w:b/>
              </w:rPr>
              <w:t>Construct and interpret graphical displays of distributions of univariate data.</w:t>
            </w:r>
          </w:p>
        </w:tc>
      </w:tr>
      <w:tr w:rsidR="005552B8" w:rsidRPr="00A0501E" w14:paraId="594E6BB7" w14:textId="77777777" w:rsidTr="00AE6676">
        <w:tc>
          <w:tcPr>
            <w:tcW w:w="4590" w:type="dxa"/>
            <w:tcBorders>
              <w:left w:val="nil"/>
            </w:tcBorders>
            <w:vAlign w:val="center"/>
          </w:tcPr>
          <w:p w14:paraId="594E6BB5" w14:textId="000E6E14" w:rsidR="005552B8" w:rsidRPr="00B42B5C" w:rsidRDefault="00156FD5" w:rsidP="00156FD5">
            <w:pPr>
              <w:spacing w:after="0"/>
              <w:contextualSpacing/>
              <w:rPr>
                <w:rFonts w:cs="Times New Roman"/>
                <w:i/>
              </w:rPr>
            </w:pPr>
            <w:r w:rsidRPr="00B42B5C">
              <w:rPr>
                <w:rFonts w:cs="Times New Roman"/>
                <w:i/>
              </w:rPr>
              <w:t>I.A.1 Create and interpret boxplots and histograms.</w:t>
            </w:r>
          </w:p>
        </w:tc>
        <w:tc>
          <w:tcPr>
            <w:tcW w:w="4590" w:type="dxa"/>
            <w:tcBorders>
              <w:right w:val="nil"/>
            </w:tcBorders>
            <w:vAlign w:val="center"/>
          </w:tcPr>
          <w:p w14:paraId="594E6BB6" w14:textId="77777777" w:rsidR="005552B8" w:rsidRPr="00A0501E" w:rsidRDefault="005552B8" w:rsidP="00527BB7">
            <w:pPr>
              <w:spacing w:after="0"/>
              <w:contextualSpacing/>
            </w:pPr>
          </w:p>
        </w:tc>
      </w:tr>
      <w:tr w:rsidR="005552B8" w:rsidRPr="00A0501E" w14:paraId="594E6BBA" w14:textId="77777777" w:rsidTr="00AE6676">
        <w:tc>
          <w:tcPr>
            <w:tcW w:w="4590" w:type="dxa"/>
            <w:tcBorders>
              <w:left w:val="nil"/>
            </w:tcBorders>
            <w:vAlign w:val="center"/>
          </w:tcPr>
          <w:p w14:paraId="594E6BB8" w14:textId="77777777" w:rsidR="005552B8" w:rsidRPr="00156FD5" w:rsidRDefault="00156FD5" w:rsidP="00156FD5">
            <w:pPr>
              <w:spacing w:after="0"/>
              <w:contextualSpacing/>
              <w:rPr>
                <w:rFonts w:cs="Times New Roman"/>
                <w:i/>
              </w:rPr>
            </w:pPr>
            <w:r w:rsidRPr="00B42B5C">
              <w:rPr>
                <w:rFonts w:cs="Times New Roman"/>
                <w:i/>
              </w:rPr>
              <w:t xml:space="preserve">I.A.2 </w:t>
            </w:r>
            <w:r w:rsidRPr="00DA17EC">
              <w:rPr>
                <w:rFonts w:cs="Times New Roman"/>
                <w:i/>
              </w:rPr>
              <w:t xml:space="preserve">Analyze center, </w:t>
            </w:r>
            <w:proofErr w:type="gramStart"/>
            <w:r w:rsidRPr="00DA17EC">
              <w:rPr>
                <w:rFonts w:cs="Times New Roman"/>
                <w:i/>
              </w:rPr>
              <w:t>shape</w:t>
            </w:r>
            <w:proofErr w:type="gramEnd"/>
            <w:r w:rsidRPr="00DA17EC">
              <w:rPr>
                <w:rFonts w:cs="Times New Roman"/>
                <w:i/>
              </w:rPr>
              <w:t xml:space="preserve"> and spread, as well as clusters, gaps, outliers and other unusual features.</w:t>
            </w:r>
          </w:p>
        </w:tc>
        <w:tc>
          <w:tcPr>
            <w:tcW w:w="4590" w:type="dxa"/>
            <w:tcBorders>
              <w:right w:val="nil"/>
            </w:tcBorders>
            <w:vAlign w:val="center"/>
          </w:tcPr>
          <w:p w14:paraId="594E6BB9" w14:textId="77777777" w:rsidR="005552B8" w:rsidRPr="00A0501E" w:rsidRDefault="005552B8" w:rsidP="00527BB7">
            <w:pPr>
              <w:spacing w:after="0"/>
              <w:contextualSpacing/>
            </w:pPr>
          </w:p>
        </w:tc>
      </w:tr>
      <w:tr w:rsidR="00AE6676" w:rsidRPr="00A0501E" w14:paraId="594E6BBC" w14:textId="77777777" w:rsidTr="00AE6676">
        <w:tc>
          <w:tcPr>
            <w:tcW w:w="9180" w:type="dxa"/>
            <w:gridSpan w:val="2"/>
            <w:tcBorders>
              <w:left w:val="nil"/>
              <w:right w:val="nil"/>
            </w:tcBorders>
            <w:vAlign w:val="center"/>
          </w:tcPr>
          <w:p w14:paraId="594E6BBB" w14:textId="77777777" w:rsidR="00AE6676" w:rsidRPr="00A0501E" w:rsidRDefault="00AE6676" w:rsidP="00527BB7">
            <w:pPr>
              <w:spacing w:after="0"/>
              <w:contextualSpacing/>
            </w:pPr>
            <w:r>
              <w:rPr>
                <w:rFonts w:cs="Times New Roman"/>
                <w:b/>
              </w:rPr>
              <w:t xml:space="preserve">I.B </w:t>
            </w:r>
            <w:r w:rsidRPr="00DA17EC">
              <w:rPr>
                <w:rFonts w:cs="Times New Roman"/>
                <w:b/>
              </w:rPr>
              <w:t>Summarize distributions of univariate data and compare multiple distributions.</w:t>
            </w:r>
          </w:p>
        </w:tc>
      </w:tr>
      <w:tr w:rsidR="005552B8" w:rsidRPr="00A0501E" w14:paraId="594E6BBF" w14:textId="77777777" w:rsidTr="00AE6676">
        <w:tc>
          <w:tcPr>
            <w:tcW w:w="4590" w:type="dxa"/>
            <w:tcBorders>
              <w:left w:val="nil"/>
            </w:tcBorders>
            <w:vAlign w:val="center"/>
          </w:tcPr>
          <w:p w14:paraId="594E6BBD" w14:textId="77777777" w:rsidR="005552B8" w:rsidRPr="00156FD5" w:rsidRDefault="00156FD5" w:rsidP="00156FD5">
            <w:pPr>
              <w:spacing w:after="0"/>
              <w:contextualSpacing/>
              <w:rPr>
                <w:rFonts w:cs="Times New Roman"/>
                <w:i/>
              </w:rPr>
            </w:pPr>
            <w:r w:rsidRPr="00B42B5C">
              <w:rPr>
                <w:rFonts w:cs="Times New Roman"/>
                <w:i/>
              </w:rPr>
              <w:t xml:space="preserve">I.B.1 </w:t>
            </w:r>
            <w:r w:rsidRPr="00DA17EC">
              <w:rPr>
                <w:rFonts w:cs="Times New Roman"/>
                <w:i/>
              </w:rPr>
              <w:t xml:space="preserve">Compute measures of center (median, mean), measures of spread (range, interquartile range, standard deviation) and measures of position (quartiles, other </w:t>
            </w:r>
            <w:proofErr w:type="gramStart"/>
            <w:r w:rsidRPr="00DA17EC">
              <w:rPr>
                <w:rFonts w:cs="Times New Roman"/>
                <w:i/>
              </w:rPr>
              <w:t>percentiles</w:t>
            </w:r>
            <w:proofErr w:type="gramEnd"/>
            <w:r w:rsidRPr="00DA17EC">
              <w:rPr>
                <w:rFonts w:cs="Times New Roman"/>
                <w:i/>
              </w:rPr>
              <w:t xml:space="preserve"> and standardized scores).</w:t>
            </w:r>
          </w:p>
        </w:tc>
        <w:tc>
          <w:tcPr>
            <w:tcW w:w="4590" w:type="dxa"/>
            <w:tcBorders>
              <w:right w:val="nil"/>
            </w:tcBorders>
            <w:vAlign w:val="center"/>
          </w:tcPr>
          <w:p w14:paraId="594E6BBE" w14:textId="77777777" w:rsidR="005552B8" w:rsidRPr="00A0501E" w:rsidRDefault="005552B8" w:rsidP="00527BB7">
            <w:pPr>
              <w:spacing w:after="0"/>
              <w:contextualSpacing/>
            </w:pPr>
          </w:p>
        </w:tc>
      </w:tr>
      <w:tr w:rsidR="005552B8" w:rsidRPr="00A0501E" w14:paraId="594E6BC2" w14:textId="77777777" w:rsidTr="00AE6676">
        <w:tc>
          <w:tcPr>
            <w:tcW w:w="4590" w:type="dxa"/>
            <w:tcBorders>
              <w:left w:val="nil"/>
            </w:tcBorders>
            <w:vAlign w:val="center"/>
          </w:tcPr>
          <w:p w14:paraId="594E6BC0" w14:textId="6331E464" w:rsidR="005552B8" w:rsidRPr="00B42B5C" w:rsidRDefault="00156FD5" w:rsidP="00156FD5">
            <w:pPr>
              <w:spacing w:after="0"/>
              <w:contextualSpacing/>
              <w:rPr>
                <w:rFonts w:cs="Times New Roman"/>
                <w:i/>
              </w:rPr>
            </w:pPr>
            <w:r w:rsidRPr="00B42B5C">
              <w:rPr>
                <w:rFonts w:cs="Times New Roman"/>
                <w:i/>
              </w:rPr>
              <w:t xml:space="preserve">I.B.2 </w:t>
            </w:r>
            <w:r w:rsidRPr="00DA17EC">
              <w:rPr>
                <w:rFonts w:cs="Times New Roman"/>
                <w:i/>
              </w:rPr>
              <w:t xml:space="preserve">Compare groups using </w:t>
            </w:r>
            <w:r w:rsidR="00F0642B">
              <w:rPr>
                <w:rFonts w:cs="Times New Roman"/>
                <w:i/>
              </w:rPr>
              <w:t>graphical displays (</w:t>
            </w:r>
            <w:r w:rsidR="00EA6FA0">
              <w:rPr>
                <w:rFonts w:cs="Times New Roman"/>
                <w:i/>
              </w:rPr>
              <w:t xml:space="preserve">e.g. </w:t>
            </w:r>
            <w:r w:rsidRPr="00DA17EC">
              <w:rPr>
                <w:rFonts w:cs="Times New Roman"/>
                <w:i/>
              </w:rPr>
              <w:t>back-to-back stem and leaf plots</w:t>
            </w:r>
            <w:r w:rsidR="00EA6FA0">
              <w:rPr>
                <w:rFonts w:cs="Times New Roman"/>
                <w:i/>
              </w:rPr>
              <w:t xml:space="preserve"> and</w:t>
            </w:r>
            <w:r w:rsidRPr="00DA17EC">
              <w:rPr>
                <w:rFonts w:cs="Times New Roman"/>
                <w:i/>
              </w:rPr>
              <w:t xml:space="preserve"> parallel boxplots</w:t>
            </w:r>
            <w:r w:rsidR="00EA6FA0">
              <w:rPr>
                <w:rFonts w:cs="Times New Roman"/>
                <w:i/>
              </w:rPr>
              <w:t>)</w:t>
            </w:r>
            <w:r w:rsidRPr="00DA17EC">
              <w:rPr>
                <w:rFonts w:cs="Times New Roman"/>
                <w:i/>
              </w:rPr>
              <w:t>.</w:t>
            </w:r>
          </w:p>
        </w:tc>
        <w:tc>
          <w:tcPr>
            <w:tcW w:w="4590" w:type="dxa"/>
            <w:tcBorders>
              <w:right w:val="nil"/>
            </w:tcBorders>
            <w:vAlign w:val="center"/>
          </w:tcPr>
          <w:p w14:paraId="594E6BC1" w14:textId="77777777" w:rsidR="005552B8" w:rsidRPr="00A0501E" w:rsidRDefault="005552B8" w:rsidP="00527BB7">
            <w:pPr>
              <w:spacing w:after="0"/>
              <w:contextualSpacing/>
            </w:pPr>
          </w:p>
        </w:tc>
      </w:tr>
      <w:tr w:rsidR="00AE6676" w:rsidRPr="00A0501E" w14:paraId="594E6BC4" w14:textId="77777777" w:rsidTr="00AE6676">
        <w:tc>
          <w:tcPr>
            <w:tcW w:w="9180" w:type="dxa"/>
            <w:gridSpan w:val="2"/>
            <w:tcBorders>
              <w:left w:val="nil"/>
              <w:right w:val="nil"/>
            </w:tcBorders>
            <w:vAlign w:val="center"/>
          </w:tcPr>
          <w:p w14:paraId="594E6BC3" w14:textId="77777777" w:rsidR="00AE6676" w:rsidRPr="00A0501E" w:rsidRDefault="00AE6676" w:rsidP="00527BB7">
            <w:pPr>
              <w:spacing w:after="0"/>
              <w:contextualSpacing/>
            </w:pPr>
            <w:r>
              <w:rPr>
                <w:rFonts w:cs="Times New Roman"/>
                <w:b/>
              </w:rPr>
              <w:t xml:space="preserve">I.C </w:t>
            </w:r>
            <w:r w:rsidRPr="00DA17EC">
              <w:rPr>
                <w:rFonts w:cs="Times New Roman"/>
                <w:b/>
              </w:rPr>
              <w:t>Explore bivariate data.</w:t>
            </w:r>
          </w:p>
        </w:tc>
      </w:tr>
      <w:tr w:rsidR="005552B8" w:rsidRPr="00A0501E" w14:paraId="594E6BC7" w14:textId="77777777" w:rsidTr="00AE6676">
        <w:tc>
          <w:tcPr>
            <w:tcW w:w="4590" w:type="dxa"/>
            <w:tcBorders>
              <w:left w:val="nil"/>
            </w:tcBorders>
            <w:vAlign w:val="center"/>
          </w:tcPr>
          <w:p w14:paraId="594E6BC5" w14:textId="645AF671" w:rsidR="005552B8" w:rsidRPr="00156FD5" w:rsidRDefault="00156FD5" w:rsidP="00156FD5">
            <w:pPr>
              <w:spacing w:after="0"/>
              <w:contextualSpacing/>
              <w:rPr>
                <w:rFonts w:cs="Times New Roman"/>
                <w:i/>
              </w:rPr>
            </w:pPr>
            <w:r w:rsidRPr="00B42B5C">
              <w:rPr>
                <w:rFonts w:cs="Times New Roman"/>
                <w:i/>
              </w:rPr>
              <w:t xml:space="preserve">I.C.1 </w:t>
            </w:r>
            <w:r w:rsidRPr="00DA17EC">
              <w:rPr>
                <w:rFonts w:cs="Times New Roman"/>
                <w:i/>
              </w:rPr>
              <w:t xml:space="preserve">Analyze scatterplots for patterns, </w:t>
            </w:r>
            <w:proofErr w:type="gramStart"/>
            <w:r w:rsidRPr="00DA17EC">
              <w:rPr>
                <w:rFonts w:cs="Times New Roman"/>
                <w:i/>
              </w:rPr>
              <w:t>linearity</w:t>
            </w:r>
            <w:proofErr w:type="gramEnd"/>
            <w:r w:rsidRPr="00DA17EC">
              <w:rPr>
                <w:rFonts w:cs="Times New Roman"/>
                <w:i/>
              </w:rPr>
              <w:t xml:space="preserve"> and outliers.</w:t>
            </w:r>
          </w:p>
        </w:tc>
        <w:tc>
          <w:tcPr>
            <w:tcW w:w="4590" w:type="dxa"/>
            <w:tcBorders>
              <w:right w:val="nil"/>
            </w:tcBorders>
            <w:vAlign w:val="center"/>
          </w:tcPr>
          <w:p w14:paraId="594E6BC6" w14:textId="77777777" w:rsidR="005552B8" w:rsidRPr="00A0501E" w:rsidRDefault="005552B8" w:rsidP="00527BB7">
            <w:pPr>
              <w:spacing w:after="0"/>
              <w:contextualSpacing/>
            </w:pPr>
          </w:p>
        </w:tc>
      </w:tr>
      <w:tr w:rsidR="005552B8" w:rsidRPr="00A0501E" w14:paraId="594E6BCA" w14:textId="77777777" w:rsidTr="00AE6676">
        <w:tc>
          <w:tcPr>
            <w:tcW w:w="4590" w:type="dxa"/>
            <w:tcBorders>
              <w:left w:val="nil"/>
            </w:tcBorders>
            <w:vAlign w:val="center"/>
          </w:tcPr>
          <w:p w14:paraId="594E6BC8" w14:textId="77777777" w:rsidR="005552B8" w:rsidRPr="00B42B5C" w:rsidRDefault="00156FD5" w:rsidP="00156FD5">
            <w:pPr>
              <w:spacing w:after="0"/>
              <w:contextualSpacing/>
              <w:rPr>
                <w:rFonts w:cs="Times New Roman"/>
                <w:i/>
              </w:rPr>
            </w:pPr>
            <w:r w:rsidRPr="00B42B5C">
              <w:rPr>
                <w:rFonts w:cs="Times New Roman"/>
                <w:i/>
              </w:rPr>
              <w:t xml:space="preserve">I.C.2 </w:t>
            </w:r>
            <w:r w:rsidRPr="00DA17EC">
              <w:rPr>
                <w:rFonts w:cs="Times New Roman"/>
                <w:i/>
              </w:rPr>
              <w:t xml:space="preserve">Calculate and interpret the correlation coefficient. </w:t>
            </w:r>
          </w:p>
        </w:tc>
        <w:tc>
          <w:tcPr>
            <w:tcW w:w="4590" w:type="dxa"/>
            <w:tcBorders>
              <w:right w:val="nil"/>
            </w:tcBorders>
            <w:vAlign w:val="center"/>
          </w:tcPr>
          <w:p w14:paraId="594E6BC9" w14:textId="77777777" w:rsidR="005552B8" w:rsidRPr="00A0501E" w:rsidRDefault="005552B8" w:rsidP="00527BB7">
            <w:pPr>
              <w:spacing w:after="0"/>
              <w:contextualSpacing/>
            </w:pPr>
          </w:p>
        </w:tc>
      </w:tr>
      <w:tr w:rsidR="00AE6676" w:rsidRPr="00A0501E" w14:paraId="594E6BCC" w14:textId="77777777" w:rsidTr="00AE6676">
        <w:tc>
          <w:tcPr>
            <w:tcW w:w="9180" w:type="dxa"/>
            <w:gridSpan w:val="2"/>
            <w:tcBorders>
              <w:left w:val="nil"/>
              <w:right w:val="nil"/>
            </w:tcBorders>
            <w:vAlign w:val="center"/>
          </w:tcPr>
          <w:p w14:paraId="594E6BCB" w14:textId="77777777" w:rsidR="00AE6676" w:rsidRPr="00A0501E" w:rsidRDefault="00AE6676" w:rsidP="00527BB7">
            <w:pPr>
              <w:spacing w:after="0"/>
              <w:contextualSpacing/>
            </w:pPr>
            <w:r>
              <w:rPr>
                <w:rFonts w:cs="Times New Roman"/>
                <w:b/>
              </w:rPr>
              <w:t xml:space="preserve">I.D </w:t>
            </w:r>
            <w:r w:rsidRPr="00DA17EC">
              <w:rPr>
                <w:rFonts w:cs="Times New Roman"/>
                <w:b/>
              </w:rPr>
              <w:t>Explore categorical data.</w:t>
            </w:r>
          </w:p>
        </w:tc>
      </w:tr>
      <w:tr w:rsidR="005552B8" w:rsidRPr="00A0501E" w14:paraId="594E6BCF" w14:textId="77777777" w:rsidTr="00AE6676">
        <w:tc>
          <w:tcPr>
            <w:tcW w:w="4590" w:type="dxa"/>
            <w:tcBorders>
              <w:left w:val="nil"/>
            </w:tcBorders>
            <w:vAlign w:val="center"/>
          </w:tcPr>
          <w:p w14:paraId="594E6BCD" w14:textId="77777777" w:rsidR="005552B8" w:rsidRPr="00156FD5" w:rsidRDefault="00156FD5" w:rsidP="00156FD5">
            <w:pPr>
              <w:spacing w:after="0"/>
              <w:contextualSpacing/>
              <w:rPr>
                <w:rFonts w:cs="Times New Roman"/>
                <w:i/>
              </w:rPr>
            </w:pPr>
            <w:r w:rsidRPr="00B42B5C">
              <w:rPr>
                <w:rFonts w:cs="Times New Roman"/>
                <w:i/>
              </w:rPr>
              <w:t xml:space="preserve">I.D.1 </w:t>
            </w:r>
            <w:r w:rsidRPr="00DA17EC">
              <w:rPr>
                <w:rFonts w:cs="Times New Roman"/>
                <w:i/>
              </w:rPr>
              <w:t>Create and interpret frequency tables and bar charts.</w:t>
            </w:r>
          </w:p>
        </w:tc>
        <w:tc>
          <w:tcPr>
            <w:tcW w:w="4590" w:type="dxa"/>
            <w:tcBorders>
              <w:right w:val="nil"/>
            </w:tcBorders>
            <w:vAlign w:val="center"/>
          </w:tcPr>
          <w:p w14:paraId="594E6BCE" w14:textId="77777777" w:rsidR="005552B8" w:rsidRPr="00A0501E" w:rsidRDefault="005552B8" w:rsidP="00527BB7">
            <w:pPr>
              <w:spacing w:after="0"/>
              <w:contextualSpacing/>
            </w:pPr>
          </w:p>
        </w:tc>
      </w:tr>
      <w:tr w:rsidR="005552B8" w:rsidRPr="00A0501E" w14:paraId="594E6BD2" w14:textId="77777777" w:rsidTr="00AE6676">
        <w:tc>
          <w:tcPr>
            <w:tcW w:w="4590" w:type="dxa"/>
            <w:tcBorders>
              <w:left w:val="nil"/>
            </w:tcBorders>
            <w:vAlign w:val="center"/>
          </w:tcPr>
          <w:p w14:paraId="594E6BD0" w14:textId="77777777" w:rsidR="005552B8" w:rsidRPr="00B42B5C" w:rsidRDefault="00156FD5" w:rsidP="00156FD5">
            <w:pPr>
              <w:spacing w:after="0"/>
              <w:contextualSpacing/>
              <w:rPr>
                <w:rFonts w:cs="Times New Roman"/>
                <w:i/>
              </w:rPr>
            </w:pPr>
            <w:r w:rsidRPr="00B42B5C">
              <w:rPr>
                <w:rFonts w:cs="Times New Roman"/>
                <w:i/>
              </w:rPr>
              <w:t xml:space="preserve">I.D.2 </w:t>
            </w:r>
            <w:r>
              <w:rPr>
                <w:rFonts w:cs="Times New Roman"/>
                <w:i/>
              </w:rPr>
              <w:t xml:space="preserve">Compare distributions of </w:t>
            </w:r>
            <w:r w:rsidRPr="00DA17EC">
              <w:rPr>
                <w:rFonts w:cs="Times New Roman"/>
                <w:i/>
              </w:rPr>
              <w:t>categorical data.</w:t>
            </w:r>
          </w:p>
        </w:tc>
        <w:tc>
          <w:tcPr>
            <w:tcW w:w="4590" w:type="dxa"/>
            <w:tcBorders>
              <w:right w:val="nil"/>
            </w:tcBorders>
            <w:vAlign w:val="center"/>
          </w:tcPr>
          <w:p w14:paraId="594E6BD1" w14:textId="77777777" w:rsidR="005552B8" w:rsidRPr="00A0501E" w:rsidRDefault="005552B8" w:rsidP="00527BB7">
            <w:pPr>
              <w:spacing w:after="0"/>
              <w:contextualSpacing/>
            </w:pPr>
          </w:p>
        </w:tc>
      </w:tr>
    </w:tbl>
    <w:p w14:paraId="594E6BD3" w14:textId="77777777" w:rsidR="00156FD5" w:rsidRDefault="00156FD5"/>
    <w:p w14:paraId="594E6BD4" w14:textId="77777777" w:rsidR="00156FD5" w:rsidRPr="00DA17EC" w:rsidRDefault="00156FD5" w:rsidP="00156FD5">
      <w:pPr>
        <w:numPr>
          <w:ilvl w:val="0"/>
          <w:numId w:val="1"/>
        </w:numPr>
        <w:spacing w:after="0"/>
        <w:ind w:left="360" w:hanging="360"/>
        <w:contextualSpacing/>
        <w:rPr>
          <w:rFonts w:cs="Times New Roman"/>
        </w:rPr>
      </w:pPr>
      <w:r w:rsidRPr="00DA17EC">
        <w:rPr>
          <w:rFonts w:cs="Times New Roman"/>
          <w:b/>
        </w:rPr>
        <w:lastRenderedPageBreak/>
        <w:t xml:space="preserve">Statistical Design </w:t>
      </w:r>
    </w:p>
    <w:p w14:paraId="594E6BD5" w14:textId="77777777" w:rsidR="00156FD5" w:rsidRPr="00DA17EC" w:rsidRDefault="00156FD5" w:rsidP="00515C45">
      <w:pPr>
        <w:spacing w:after="0"/>
        <w:rPr>
          <w:rFonts w:cs="Times New Roman"/>
        </w:rPr>
      </w:pPr>
      <w:r w:rsidRPr="00DA17EC">
        <w:rPr>
          <w:rFonts w:cs="Times New Roman"/>
        </w:rPr>
        <w:t>Students will critically evaluate a data-collection plan to answer a given research question.  Specifically, students will be able to:</w:t>
      </w:r>
    </w:p>
    <w:tbl>
      <w:tblPr>
        <w:tblStyle w:val="TableGrid"/>
        <w:tblW w:w="0" w:type="auto"/>
        <w:tblInd w:w="198" w:type="dxa"/>
        <w:tblLook w:val="04A0" w:firstRow="1" w:lastRow="0" w:firstColumn="1" w:lastColumn="0" w:noHBand="0" w:noVBand="1"/>
      </w:tblPr>
      <w:tblGrid>
        <w:gridCol w:w="4576"/>
        <w:gridCol w:w="4576"/>
      </w:tblGrid>
      <w:tr w:rsidR="00156FD5" w:rsidRPr="00A0501E" w14:paraId="594E6BD8" w14:textId="77777777" w:rsidTr="00AE6676">
        <w:tc>
          <w:tcPr>
            <w:tcW w:w="4590" w:type="dxa"/>
            <w:tcBorders>
              <w:bottom w:val="single" w:sz="4" w:space="0" w:color="auto"/>
            </w:tcBorders>
            <w:vAlign w:val="bottom"/>
          </w:tcPr>
          <w:p w14:paraId="594E6BD6" w14:textId="77777777" w:rsidR="00156FD5" w:rsidRPr="00A0501E" w:rsidRDefault="00156FD5" w:rsidP="00527BB7">
            <w:pPr>
              <w:spacing w:after="0"/>
              <w:contextualSpacing/>
              <w:jc w:val="center"/>
              <w:rPr>
                <w:b/>
              </w:rPr>
            </w:pPr>
            <w:r w:rsidRPr="00A0501E">
              <w:rPr>
                <w:b/>
              </w:rPr>
              <w:t>Statewide SLOs</w:t>
            </w:r>
          </w:p>
        </w:tc>
        <w:tc>
          <w:tcPr>
            <w:tcW w:w="4590" w:type="dxa"/>
            <w:tcBorders>
              <w:bottom w:val="single" w:sz="4" w:space="0" w:color="auto"/>
            </w:tcBorders>
            <w:vAlign w:val="bottom"/>
          </w:tcPr>
          <w:p w14:paraId="594E6BD7" w14:textId="77777777" w:rsidR="00156FD5" w:rsidRPr="00A0501E" w:rsidRDefault="00156FD5" w:rsidP="00527BB7">
            <w:pPr>
              <w:spacing w:after="0"/>
              <w:contextualSpacing/>
              <w:jc w:val="center"/>
              <w:rPr>
                <w:b/>
              </w:rPr>
            </w:pPr>
            <w:r w:rsidRPr="00A0501E">
              <w:rPr>
                <w:b/>
              </w:rPr>
              <w:t>Institutional Alignment</w:t>
            </w:r>
          </w:p>
        </w:tc>
      </w:tr>
      <w:tr w:rsidR="00AE6676" w:rsidRPr="00A0501E" w14:paraId="594E6BDA" w14:textId="77777777" w:rsidTr="00AE6676">
        <w:tc>
          <w:tcPr>
            <w:tcW w:w="9180" w:type="dxa"/>
            <w:gridSpan w:val="2"/>
            <w:tcBorders>
              <w:left w:val="nil"/>
              <w:right w:val="nil"/>
            </w:tcBorders>
            <w:vAlign w:val="center"/>
          </w:tcPr>
          <w:p w14:paraId="594E6BD9" w14:textId="7B96D449" w:rsidR="00AE6676" w:rsidRPr="00A0501E" w:rsidRDefault="00AE6676" w:rsidP="00527BB7">
            <w:pPr>
              <w:spacing w:after="0"/>
              <w:contextualSpacing/>
            </w:pPr>
            <w:r>
              <w:rPr>
                <w:rFonts w:cs="Times New Roman"/>
                <w:b/>
              </w:rPr>
              <w:t xml:space="preserve">II.A </w:t>
            </w:r>
            <w:r w:rsidRPr="00DA17EC">
              <w:rPr>
                <w:rFonts w:cs="Times New Roman"/>
                <w:b/>
              </w:rPr>
              <w:t>Identify characteristics of good study designs.</w:t>
            </w:r>
            <w:r w:rsidR="002E1E6A">
              <w:rPr>
                <w:rFonts w:cs="Times New Roman"/>
                <w:b/>
              </w:rPr>
              <w:t xml:space="preserve"> </w:t>
            </w:r>
            <w:r w:rsidRPr="00DA17EC">
              <w:rPr>
                <w:rFonts w:cs="Times New Roman"/>
                <w:b/>
              </w:rPr>
              <w:t>Understand what conclusions are appropriate for a given design and whether conclusions can be generalized to a larger population.</w:t>
            </w:r>
          </w:p>
        </w:tc>
      </w:tr>
      <w:tr w:rsidR="00156FD5" w:rsidRPr="00A0501E" w14:paraId="594E6BDD" w14:textId="77777777" w:rsidTr="00AE6676">
        <w:tc>
          <w:tcPr>
            <w:tcW w:w="4590" w:type="dxa"/>
            <w:tcBorders>
              <w:left w:val="nil"/>
            </w:tcBorders>
            <w:vAlign w:val="center"/>
          </w:tcPr>
          <w:p w14:paraId="594E6BDB" w14:textId="77777777" w:rsidR="00156FD5" w:rsidRPr="00515C45" w:rsidRDefault="00515C45" w:rsidP="00515C45">
            <w:pPr>
              <w:spacing w:after="0"/>
              <w:contextualSpacing/>
              <w:rPr>
                <w:rFonts w:cs="Times New Roman"/>
                <w:i/>
              </w:rPr>
            </w:pPr>
            <w:r w:rsidRPr="00B42B5C">
              <w:rPr>
                <w:rFonts w:cs="Times New Roman"/>
                <w:i/>
              </w:rPr>
              <w:t xml:space="preserve">II.A.1 </w:t>
            </w:r>
            <w:r w:rsidRPr="00DA17EC">
              <w:rPr>
                <w:rFonts w:cs="Times New Roman"/>
                <w:i/>
              </w:rPr>
              <w:t>Identify the population of interest.</w:t>
            </w:r>
          </w:p>
        </w:tc>
        <w:tc>
          <w:tcPr>
            <w:tcW w:w="4590" w:type="dxa"/>
            <w:tcBorders>
              <w:right w:val="nil"/>
            </w:tcBorders>
            <w:vAlign w:val="center"/>
          </w:tcPr>
          <w:p w14:paraId="594E6BDC" w14:textId="77777777" w:rsidR="00156FD5" w:rsidRPr="00A0501E" w:rsidRDefault="00156FD5" w:rsidP="00527BB7">
            <w:pPr>
              <w:spacing w:after="0"/>
              <w:contextualSpacing/>
            </w:pPr>
          </w:p>
        </w:tc>
      </w:tr>
      <w:tr w:rsidR="00156FD5" w:rsidRPr="00A0501E" w14:paraId="594E6BE0" w14:textId="77777777" w:rsidTr="00AE6676">
        <w:tc>
          <w:tcPr>
            <w:tcW w:w="4590" w:type="dxa"/>
            <w:tcBorders>
              <w:left w:val="nil"/>
            </w:tcBorders>
            <w:vAlign w:val="center"/>
          </w:tcPr>
          <w:p w14:paraId="594E6BDE" w14:textId="77777777" w:rsidR="00156FD5" w:rsidRPr="00B42B5C" w:rsidRDefault="00515C45" w:rsidP="00B42B5C">
            <w:pPr>
              <w:spacing w:after="0"/>
              <w:contextualSpacing/>
              <w:rPr>
                <w:rFonts w:cs="Times New Roman"/>
                <w:i/>
              </w:rPr>
            </w:pPr>
            <w:r w:rsidRPr="00B42B5C">
              <w:rPr>
                <w:rFonts w:cs="Times New Roman"/>
                <w:i/>
              </w:rPr>
              <w:t xml:space="preserve">II.A.2 </w:t>
            </w:r>
            <w:r w:rsidRPr="00DA17EC">
              <w:rPr>
                <w:rFonts w:cs="Times New Roman"/>
                <w:i/>
              </w:rPr>
              <w:t>Determine whether an observational or experimental study is appropriate and feasible.</w:t>
            </w:r>
          </w:p>
        </w:tc>
        <w:tc>
          <w:tcPr>
            <w:tcW w:w="4590" w:type="dxa"/>
            <w:tcBorders>
              <w:right w:val="nil"/>
            </w:tcBorders>
            <w:vAlign w:val="center"/>
          </w:tcPr>
          <w:p w14:paraId="594E6BDF" w14:textId="77777777" w:rsidR="00156FD5" w:rsidRPr="00A0501E" w:rsidRDefault="00156FD5" w:rsidP="00527BB7">
            <w:pPr>
              <w:spacing w:after="0"/>
              <w:contextualSpacing/>
            </w:pPr>
          </w:p>
        </w:tc>
      </w:tr>
      <w:tr w:rsidR="00156FD5" w:rsidRPr="00A0501E" w14:paraId="594E6BE3" w14:textId="77777777" w:rsidTr="00AE6676">
        <w:tc>
          <w:tcPr>
            <w:tcW w:w="4590" w:type="dxa"/>
            <w:tcBorders>
              <w:left w:val="nil"/>
            </w:tcBorders>
            <w:vAlign w:val="center"/>
          </w:tcPr>
          <w:p w14:paraId="594E6BE1" w14:textId="77777777" w:rsidR="00156FD5" w:rsidRPr="00515C45" w:rsidRDefault="00515C45" w:rsidP="00515C45">
            <w:pPr>
              <w:spacing w:after="0"/>
              <w:contextualSpacing/>
              <w:rPr>
                <w:rFonts w:cs="Times New Roman"/>
                <w:i/>
              </w:rPr>
            </w:pPr>
            <w:r w:rsidRPr="00B42B5C">
              <w:rPr>
                <w:rFonts w:cs="Times New Roman"/>
                <w:i/>
              </w:rPr>
              <w:t xml:space="preserve">II.A.3 </w:t>
            </w:r>
            <w:r w:rsidRPr="00DA17EC">
              <w:rPr>
                <w:rFonts w:cs="Times New Roman"/>
                <w:i/>
              </w:rPr>
              <w:t>Explain the difference between and importance of random selection and random assignment in study design.</w:t>
            </w:r>
          </w:p>
        </w:tc>
        <w:tc>
          <w:tcPr>
            <w:tcW w:w="4590" w:type="dxa"/>
            <w:tcBorders>
              <w:right w:val="nil"/>
            </w:tcBorders>
            <w:vAlign w:val="center"/>
          </w:tcPr>
          <w:p w14:paraId="594E6BE2" w14:textId="77777777" w:rsidR="00156FD5" w:rsidRPr="00A0501E" w:rsidRDefault="00156FD5" w:rsidP="00527BB7">
            <w:pPr>
              <w:spacing w:after="0"/>
              <w:contextualSpacing/>
            </w:pPr>
          </w:p>
        </w:tc>
      </w:tr>
      <w:tr w:rsidR="00AE6676" w:rsidRPr="00A0501E" w14:paraId="594E6BE5" w14:textId="77777777" w:rsidTr="00AE6676">
        <w:tc>
          <w:tcPr>
            <w:tcW w:w="9180" w:type="dxa"/>
            <w:gridSpan w:val="2"/>
            <w:tcBorders>
              <w:left w:val="nil"/>
              <w:right w:val="nil"/>
            </w:tcBorders>
            <w:vAlign w:val="center"/>
          </w:tcPr>
          <w:p w14:paraId="594E6BE4" w14:textId="77777777" w:rsidR="00AE6676" w:rsidRPr="00A0501E" w:rsidRDefault="00AE6676" w:rsidP="00527BB7">
            <w:pPr>
              <w:spacing w:after="0"/>
              <w:contextualSpacing/>
            </w:pPr>
            <w:r>
              <w:rPr>
                <w:rFonts w:cs="Times New Roman"/>
                <w:b/>
              </w:rPr>
              <w:t xml:space="preserve">II.B </w:t>
            </w:r>
            <w:r w:rsidRPr="00DA17EC">
              <w:rPr>
                <w:rFonts w:cs="Times New Roman"/>
                <w:b/>
              </w:rPr>
              <w:t>Know the elements of planning and conducting an observational study.</w:t>
            </w:r>
          </w:p>
        </w:tc>
      </w:tr>
      <w:tr w:rsidR="00156FD5" w:rsidRPr="00B42B5C" w14:paraId="594E6BE8" w14:textId="77777777" w:rsidTr="00AE6676">
        <w:tc>
          <w:tcPr>
            <w:tcW w:w="4590" w:type="dxa"/>
            <w:tcBorders>
              <w:left w:val="nil"/>
            </w:tcBorders>
            <w:vAlign w:val="center"/>
          </w:tcPr>
          <w:p w14:paraId="594E6BE6" w14:textId="77777777" w:rsidR="00156FD5" w:rsidRPr="00515C45" w:rsidRDefault="00515C45" w:rsidP="00515C45">
            <w:pPr>
              <w:spacing w:after="0"/>
              <w:contextualSpacing/>
              <w:rPr>
                <w:rFonts w:cs="Times New Roman"/>
                <w:i/>
              </w:rPr>
            </w:pPr>
            <w:r w:rsidRPr="00B42B5C">
              <w:rPr>
                <w:rFonts w:cs="Times New Roman"/>
                <w:i/>
              </w:rPr>
              <w:t xml:space="preserve">II.B.1 </w:t>
            </w:r>
            <w:r w:rsidRPr="00DA17EC">
              <w:rPr>
                <w:rFonts w:cs="Times New Roman"/>
                <w:i/>
              </w:rPr>
              <w:t>Verify basic elements of statistically valid sample survey.</w:t>
            </w:r>
          </w:p>
        </w:tc>
        <w:tc>
          <w:tcPr>
            <w:tcW w:w="4590" w:type="dxa"/>
            <w:tcBorders>
              <w:right w:val="nil"/>
            </w:tcBorders>
            <w:vAlign w:val="center"/>
          </w:tcPr>
          <w:p w14:paraId="594E6BE7" w14:textId="77777777" w:rsidR="00156FD5" w:rsidRPr="00B42B5C" w:rsidRDefault="00156FD5" w:rsidP="00527BB7">
            <w:pPr>
              <w:spacing w:after="0"/>
              <w:contextualSpacing/>
              <w:rPr>
                <w:rFonts w:cs="Times New Roman"/>
                <w:i/>
              </w:rPr>
            </w:pPr>
          </w:p>
        </w:tc>
      </w:tr>
      <w:tr w:rsidR="00156FD5" w:rsidRPr="00B42B5C" w14:paraId="594E6BEB" w14:textId="77777777" w:rsidTr="00AE6676">
        <w:tc>
          <w:tcPr>
            <w:tcW w:w="4590" w:type="dxa"/>
            <w:tcBorders>
              <w:left w:val="nil"/>
            </w:tcBorders>
            <w:vAlign w:val="center"/>
          </w:tcPr>
          <w:p w14:paraId="594E6BE9" w14:textId="77777777" w:rsidR="00156FD5" w:rsidRPr="00515C45" w:rsidRDefault="00515C45" w:rsidP="00515C45">
            <w:pPr>
              <w:spacing w:after="0"/>
              <w:contextualSpacing/>
              <w:rPr>
                <w:rFonts w:cs="Times New Roman"/>
                <w:i/>
              </w:rPr>
            </w:pPr>
            <w:r w:rsidRPr="00B42B5C">
              <w:rPr>
                <w:rFonts w:cs="Times New Roman"/>
                <w:i/>
              </w:rPr>
              <w:t xml:space="preserve">II.B.2 </w:t>
            </w:r>
            <w:r w:rsidRPr="00DA17EC">
              <w:rPr>
                <w:rFonts w:cs="Times New Roman"/>
                <w:i/>
              </w:rPr>
              <w:t>Determine when a census or a sample survey is appropriate.</w:t>
            </w:r>
          </w:p>
        </w:tc>
        <w:tc>
          <w:tcPr>
            <w:tcW w:w="4590" w:type="dxa"/>
            <w:tcBorders>
              <w:right w:val="nil"/>
            </w:tcBorders>
            <w:vAlign w:val="center"/>
          </w:tcPr>
          <w:p w14:paraId="594E6BEA" w14:textId="77777777" w:rsidR="00156FD5" w:rsidRPr="00B42B5C" w:rsidRDefault="00156FD5" w:rsidP="00527BB7">
            <w:pPr>
              <w:spacing w:after="0"/>
              <w:contextualSpacing/>
              <w:rPr>
                <w:rFonts w:cs="Times New Roman"/>
                <w:i/>
              </w:rPr>
            </w:pPr>
          </w:p>
        </w:tc>
      </w:tr>
      <w:tr w:rsidR="00156FD5" w:rsidRPr="00B42B5C" w14:paraId="594E6BEE" w14:textId="77777777" w:rsidTr="00AE6676">
        <w:tc>
          <w:tcPr>
            <w:tcW w:w="4590" w:type="dxa"/>
            <w:tcBorders>
              <w:left w:val="nil"/>
            </w:tcBorders>
            <w:vAlign w:val="center"/>
          </w:tcPr>
          <w:p w14:paraId="594E6BEC" w14:textId="77777777" w:rsidR="00156FD5" w:rsidRPr="00515C45" w:rsidRDefault="00515C45" w:rsidP="00515C45">
            <w:pPr>
              <w:spacing w:after="0"/>
              <w:contextualSpacing/>
              <w:rPr>
                <w:rFonts w:cs="Times New Roman"/>
                <w:i/>
              </w:rPr>
            </w:pPr>
            <w:r w:rsidRPr="00B42B5C">
              <w:rPr>
                <w:rFonts w:cs="Times New Roman"/>
                <w:i/>
              </w:rPr>
              <w:t xml:space="preserve">II.B.3 </w:t>
            </w:r>
            <w:r w:rsidRPr="00DA17EC">
              <w:rPr>
                <w:rFonts w:cs="Times New Roman"/>
                <w:i/>
              </w:rPr>
              <w:t>Identify potential sources of bias in sampling and surveys.</w:t>
            </w:r>
          </w:p>
        </w:tc>
        <w:tc>
          <w:tcPr>
            <w:tcW w:w="4590" w:type="dxa"/>
            <w:tcBorders>
              <w:right w:val="nil"/>
            </w:tcBorders>
            <w:vAlign w:val="center"/>
          </w:tcPr>
          <w:p w14:paraId="594E6BED" w14:textId="77777777" w:rsidR="00156FD5" w:rsidRPr="00B42B5C" w:rsidRDefault="00156FD5" w:rsidP="00527BB7">
            <w:pPr>
              <w:spacing w:after="0"/>
              <w:contextualSpacing/>
              <w:rPr>
                <w:rFonts w:cs="Times New Roman"/>
                <w:i/>
              </w:rPr>
            </w:pPr>
          </w:p>
        </w:tc>
      </w:tr>
      <w:tr w:rsidR="00AE6676" w:rsidRPr="00A0501E" w14:paraId="594E6BF0" w14:textId="77777777" w:rsidTr="00AE6676">
        <w:tc>
          <w:tcPr>
            <w:tcW w:w="9180" w:type="dxa"/>
            <w:gridSpan w:val="2"/>
            <w:tcBorders>
              <w:left w:val="nil"/>
              <w:right w:val="nil"/>
            </w:tcBorders>
            <w:vAlign w:val="center"/>
          </w:tcPr>
          <w:p w14:paraId="594E6BEF" w14:textId="77777777" w:rsidR="00AE6676" w:rsidRPr="00A0501E" w:rsidRDefault="00AE6676" w:rsidP="00527BB7">
            <w:pPr>
              <w:spacing w:after="0"/>
              <w:contextualSpacing/>
            </w:pPr>
            <w:r>
              <w:rPr>
                <w:rFonts w:cs="Times New Roman"/>
                <w:b/>
              </w:rPr>
              <w:t xml:space="preserve">II.C </w:t>
            </w:r>
            <w:r w:rsidRPr="00DA17EC">
              <w:rPr>
                <w:rFonts w:cs="Times New Roman"/>
                <w:b/>
              </w:rPr>
              <w:t>Know the elements of planning and conducting an experimental study.</w:t>
            </w:r>
          </w:p>
        </w:tc>
      </w:tr>
      <w:tr w:rsidR="00156FD5" w:rsidRPr="00A0501E" w14:paraId="594E6BF3" w14:textId="77777777" w:rsidTr="00AE6676">
        <w:tc>
          <w:tcPr>
            <w:tcW w:w="4590" w:type="dxa"/>
            <w:tcBorders>
              <w:left w:val="nil"/>
            </w:tcBorders>
            <w:vAlign w:val="center"/>
          </w:tcPr>
          <w:p w14:paraId="594E6BF1" w14:textId="77777777" w:rsidR="00156FD5" w:rsidRPr="00515C45" w:rsidRDefault="00515C45" w:rsidP="00515C45">
            <w:pPr>
              <w:spacing w:after="0"/>
              <w:contextualSpacing/>
              <w:rPr>
                <w:rFonts w:cs="Times New Roman"/>
                <w:i/>
              </w:rPr>
            </w:pPr>
            <w:r w:rsidRPr="00B42B5C">
              <w:rPr>
                <w:rFonts w:cs="Times New Roman"/>
                <w:i/>
              </w:rPr>
              <w:t xml:space="preserve">II.C.1 </w:t>
            </w:r>
            <w:r w:rsidRPr="00DA17EC">
              <w:rPr>
                <w:rFonts w:cs="Times New Roman"/>
                <w:i/>
              </w:rPr>
              <w:t>Verify basic elements of statistically valid experimental design.</w:t>
            </w:r>
          </w:p>
        </w:tc>
        <w:tc>
          <w:tcPr>
            <w:tcW w:w="4590" w:type="dxa"/>
            <w:tcBorders>
              <w:right w:val="nil"/>
            </w:tcBorders>
            <w:vAlign w:val="center"/>
          </w:tcPr>
          <w:p w14:paraId="594E6BF2" w14:textId="77777777" w:rsidR="00156FD5" w:rsidRPr="00A0501E" w:rsidRDefault="00156FD5" w:rsidP="00527BB7">
            <w:pPr>
              <w:spacing w:after="0"/>
              <w:contextualSpacing/>
            </w:pPr>
          </w:p>
        </w:tc>
      </w:tr>
      <w:tr w:rsidR="00156FD5" w:rsidRPr="00A0501E" w14:paraId="594E6BF6" w14:textId="77777777" w:rsidTr="00AE6676">
        <w:tc>
          <w:tcPr>
            <w:tcW w:w="4590" w:type="dxa"/>
            <w:tcBorders>
              <w:left w:val="nil"/>
            </w:tcBorders>
            <w:vAlign w:val="center"/>
          </w:tcPr>
          <w:p w14:paraId="594E6BF4" w14:textId="77777777" w:rsidR="00156FD5" w:rsidRPr="00515C45" w:rsidRDefault="00515C45" w:rsidP="00515C45">
            <w:pPr>
              <w:spacing w:after="0"/>
              <w:contextualSpacing/>
              <w:rPr>
                <w:rFonts w:cs="Times New Roman"/>
                <w:i/>
              </w:rPr>
            </w:pPr>
            <w:r w:rsidRPr="00B42B5C">
              <w:rPr>
                <w:rFonts w:cs="Times New Roman"/>
                <w:i/>
              </w:rPr>
              <w:t xml:space="preserve">II.C.2 </w:t>
            </w:r>
            <w:r w:rsidRPr="00DA17EC">
              <w:rPr>
                <w:rFonts w:cs="Times New Roman"/>
                <w:i/>
              </w:rPr>
              <w:t>Explain the purpose of including a control group and blinding in an experiment.</w:t>
            </w:r>
          </w:p>
        </w:tc>
        <w:tc>
          <w:tcPr>
            <w:tcW w:w="4590" w:type="dxa"/>
            <w:tcBorders>
              <w:right w:val="nil"/>
            </w:tcBorders>
            <w:vAlign w:val="center"/>
          </w:tcPr>
          <w:p w14:paraId="594E6BF5" w14:textId="77777777" w:rsidR="00156FD5" w:rsidRPr="00A0501E" w:rsidRDefault="00156FD5" w:rsidP="00527BB7">
            <w:pPr>
              <w:spacing w:after="0"/>
              <w:contextualSpacing/>
            </w:pPr>
          </w:p>
        </w:tc>
      </w:tr>
      <w:tr w:rsidR="00156FD5" w:rsidRPr="00A0501E" w14:paraId="594E6BF9" w14:textId="77777777" w:rsidTr="00AE6676">
        <w:tc>
          <w:tcPr>
            <w:tcW w:w="4590" w:type="dxa"/>
            <w:tcBorders>
              <w:left w:val="nil"/>
            </w:tcBorders>
            <w:vAlign w:val="center"/>
          </w:tcPr>
          <w:p w14:paraId="594E6BF7" w14:textId="77777777" w:rsidR="00156FD5" w:rsidRPr="00B42B5C" w:rsidRDefault="00515C45" w:rsidP="00515C45">
            <w:pPr>
              <w:spacing w:after="0"/>
              <w:contextualSpacing/>
              <w:rPr>
                <w:rFonts w:cs="Times New Roman"/>
                <w:i/>
              </w:rPr>
            </w:pPr>
            <w:r w:rsidRPr="00B42B5C">
              <w:rPr>
                <w:rFonts w:cs="Times New Roman"/>
                <w:i/>
              </w:rPr>
              <w:t xml:space="preserve">II.C.3 </w:t>
            </w:r>
            <w:r w:rsidRPr="00DA17EC">
              <w:rPr>
                <w:rFonts w:cs="Times New Roman"/>
                <w:i/>
              </w:rPr>
              <w:t>Identify potential sources of confounding in an experiment.</w:t>
            </w:r>
          </w:p>
        </w:tc>
        <w:tc>
          <w:tcPr>
            <w:tcW w:w="4590" w:type="dxa"/>
            <w:tcBorders>
              <w:right w:val="nil"/>
            </w:tcBorders>
            <w:vAlign w:val="center"/>
          </w:tcPr>
          <w:p w14:paraId="594E6BF8" w14:textId="77777777" w:rsidR="00156FD5" w:rsidRPr="00A0501E" w:rsidRDefault="00156FD5" w:rsidP="00527BB7">
            <w:pPr>
              <w:spacing w:after="0"/>
              <w:contextualSpacing/>
            </w:pPr>
          </w:p>
        </w:tc>
      </w:tr>
    </w:tbl>
    <w:p w14:paraId="594E6BFD" w14:textId="40D073DE" w:rsidR="00AE6676" w:rsidRPr="00AE6676" w:rsidRDefault="00C0410C" w:rsidP="00AE6676">
      <w:pPr>
        <w:spacing w:after="0"/>
        <w:contextualSpacing/>
        <w:rPr>
          <w:rFonts w:cs="Times New Roman"/>
        </w:rPr>
      </w:pPr>
      <w:r>
        <w:rPr>
          <w:rFonts w:cs="Times New Roman"/>
        </w:rPr>
        <w:br/>
      </w:r>
    </w:p>
    <w:p w14:paraId="594E6BFE" w14:textId="7CEE2A85" w:rsidR="00515C45" w:rsidRPr="00DA17EC" w:rsidRDefault="00515C45" w:rsidP="00515C45">
      <w:pPr>
        <w:numPr>
          <w:ilvl w:val="0"/>
          <w:numId w:val="1"/>
        </w:numPr>
        <w:spacing w:after="0"/>
        <w:ind w:left="360" w:hanging="360"/>
        <w:contextualSpacing/>
        <w:rPr>
          <w:rFonts w:cs="Times New Roman"/>
        </w:rPr>
      </w:pPr>
      <w:r w:rsidRPr="00DA17EC">
        <w:rPr>
          <w:rFonts w:cs="Times New Roman"/>
          <w:b/>
        </w:rPr>
        <w:t>Probability</w:t>
      </w:r>
    </w:p>
    <w:p w14:paraId="594E6BFF" w14:textId="6422BD82" w:rsidR="00515C45" w:rsidRPr="00DA17EC" w:rsidRDefault="00515C45" w:rsidP="00A52C3C">
      <w:pPr>
        <w:spacing w:after="0"/>
        <w:rPr>
          <w:rFonts w:cs="Times New Roman"/>
        </w:rPr>
      </w:pPr>
      <w:r w:rsidRPr="00DA17EC">
        <w:rPr>
          <w:rFonts w:cs="Times New Roman"/>
        </w:rPr>
        <w:t>Students will use probability concepts.  Specifically, students will be able to:</w:t>
      </w:r>
    </w:p>
    <w:tbl>
      <w:tblPr>
        <w:tblStyle w:val="TableGrid"/>
        <w:tblW w:w="0" w:type="auto"/>
        <w:tblInd w:w="198" w:type="dxa"/>
        <w:tblLook w:val="04A0" w:firstRow="1" w:lastRow="0" w:firstColumn="1" w:lastColumn="0" w:noHBand="0" w:noVBand="1"/>
      </w:tblPr>
      <w:tblGrid>
        <w:gridCol w:w="4576"/>
        <w:gridCol w:w="4576"/>
      </w:tblGrid>
      <w:tr w:rsidR="00515C45" w:rsidRPr="00A0501E" w14:paraId="594E6C02" w14:textId="77777777" w:rsidTr="00AE6676">
        <w:tc>
          <w:tcPr>
            <w:tcW w:w="4590" w:type="dxa"/>
            <w:tcBorders>
              <w:bottom w:val="single" w:sz="4" w:space="0" w:color="auto"/>
            </w:tcBorders>
            <w:vAlign w:val="bottom"/>
          </w:tcPr>
          <w:p w14:paraId="594E6C00" w14:textId="77777777" w:rsidR="00515C45" w:rsidRPr="00A0501E" w:rsidRDefault="00515C45" w:rsidP="00527BB7">
            <w:pPr>
              <w:spacing w:after="0"/>
              <w:contextualSpacing/>
              <w:jc w:val="center"/>
              <w:rPr>
                <w:b/>
              </w:rPr>
            </w:pPr>
            <w:r w:rsidRPr="00A0501E">
              <w:rPr>
                <w:b/>
              </w:rPr>
              <w:t>Statewide SLOs</w:t>
            </w:r>
          </w:p>
        </w:tc>
        <w:tc>
          <w:tcPr>
            <w:tcW w:w="4590" w:type="dxa"/>
            <w:tcBorders>
              <w:bottom w:val="single" w:sz="4" w:space="0" w:color="auto"/>
            </w:tcBorders>
            <w:vAlign w:val="bottom"/>
          </w:tcPr>
          <w:p w14:paraId="594E6C01" w14:textId="77777777" w:rsidR="00515C45" w:rsidRPr="00A0501E" w:rsidRDefault="00515C45" w:rsidP="00527BB7">
            <w:pPr>
              <w:spacing w:after="0"/>
              <w:contextualSpacing/>
              <w:jc w:val="center"/>
              <w:rPr>
                <w:b/>
              </w:rPr>
            </w:pPr>
            <w:r w:rsidRPr="00A0501E">
              <w:rPr>
                <w:b/>
              </w:rPr>
              <w:t>Institutional Alignment</w:t>
            </w:r>
          </w:p>
        </w:tc>
      </w:tr>
      <w:tr w:rsidR="00AE6676" w:rsidRPr="00A0501E" w14:paraId="594E6C04" w14:textId="77777777" w:rsidTr="00AE6676">
        <w:tc>
          <w:tcPr>
            <w:tcW w:w="9180" w:type="dxa"/>
            <w:gridSpan w:val="2"/>
            <w:tcBorders>
              <w:left w:val="nil"/>
              <w:right w:val="nil"/>
            </w:tcBorders>
            <w:vAlign w:val="center"/>
          </w:tcPr>
          <w:p w14:paraId="594E6C03" w14:textId="77777777" w:rsidR="00AE6676" w:rsidRPr="00A0501E" w:rsidRDefault="00AE6676" w:rsidP="00527BB7">
            <w:pPr>
              <w:spacing w:after="0"/>
              <w:contextualSpacing/>
            </w:pPr>
            <w:r>
              <w:rPr>
                <w:rFonts w:cs="Times New Roman"/>
                <w:b/>
              </w:rPr>
              <w:t xml:space="preserve">III.A </w:t>
            </w:r>
            <w:r w:rsidRPr="00DA17EC">
              <w:rPr>
                <w:rFonts w:cs="Times New Roman"/>
                <w:b/>
              </w:rPr>
              <w:t>Determine and interpret probabilities.</w:t>
            </w:r>
          </w:p>
        </w:tc>
      </w:tr>
      <w:tr w:rsidR="00515C45" w:rsidRPr="00A0501E" w14:paraId="594E6C07" w14:textId="77777777" w:rsidTr="00AE6676">
        <w:tc>
          <w:tcPr>
            <w:tcW w:w="4590" w:type="dxa"/>
            <w:tcBorders>
              <w:left w:val="nil"/>
            </w:tcBorders>
            <w:vAlign w:val="center"/>
          </w:tcPr>
          <w:p w14:paraId="594E6C05" w14:textId="77777777" w:rsidR="00515C45" w:rsidRPr="00B42B5C" w:rsidRDefault="00A52C3C" w:rsidP="00A52C3C">
            <w:pPr>
              <w:spacing w:after="0"/>
              <w:contextualSpacing/>
              <w:rPr>
                <w:rFonts w:cs="Times New Roman"/>
                <w:i/>
              </w:rPr>
            </w:pPr>
            <w:r w:rsidRPr="00B42B5C">
              <w:rPr>
                <w:rFonts w:cs="Times New Roman"/>
                <w:i/>
              </w:rPr>
              <w:t>III.A.1 Interpret a probability as a long-run relative frequency of occurrence.</w:t>
            </w:r>
          </w:p>
        </w:tc>
        <w:tc>
          <w:tcPr>
            <w:tcW w:w="4590" w:type="dxa"/>
            <w:tcBorders>
              <w:right w:val="nil"/>
            </w:tcBorders>
            <w:vAlign w:val="center"/>
          </w:tcPr>
          <w:p w14:paraId="594E6C06" w14:textId="77777777" w:rsidR="00515C45" w:rsidRPr="00A0501E" w:rsidRDefault="00515C45" w:rsidP="00527BB7">
            <w:pPr>
              <w:spacing w:after="0"/>
              <w:contextualSpacing/>
            </w:pPr>
          </w:p>
        </w:tc>
      </w:tr>
      <w:tr w:rsidR="00515C45" w:rsidRPr="00A0501E" w14:paraId="594E6C0A" w14:textId="77777777" w:rsidTr="00AE6676">
        <w:tc>
          <w:tcPr>
            <w:tcW w:w="4590" w:type="dxa"/>
            <w:tcBorders>
              <w:left w:val="nil"/>
            </w:tcBorders>
            <w:vAlign w:val="center"/>
          </w:tcPr>
          <w:p w14:paraId="594E6C08" w14:textId="0668734D" w:rsidR="004B47FF" w:rsidRPr="00B42B5C" w:rsidRDefault="00A52C3C" w:rsidP="00A52C3C">
            <w:pPr>
              <w:spacing w:after="0"/>
              <w:contextualSpacing/>
              <w:rPr>
                <w:rFonts w:cs="Times New Roman"/>
                <w:i/>
              </w:rPr>
            </w:pPr>
            <w:r w:rsidRPr="00B42B5C">
              <w:rPr>
                <w:rFonts w:cs="Times New Roman"/>
                <w:i/>
              </w:rPr>
              <w:t xml:space="preserve">III.A.2 </w:t>
            </w:r>
            <w:r w:rsidRPr="00DA17EC">
              <w:rPr>
                <w:rFonts w:cs="Times New Roman"/>
                <w:i/>
              </w:rPr>
              <w:t>Calculate the probability of a specified event in a chance experiment with equally likely outcomes.</w:t>
            </w:r>
          </w:p>
        </w:tc>
        <w:tc>
          <w:tcPr>
            <w:tcW w:w="4590" w:type="dxa"/>
            <w:tcBorders>
              <w:right w:val="nil"/>
            </w:tcBorders>
            <w:vAlign w:val="center"/>
          </w:tcPr>
          <w:p w14:paraId="594E6C09" w14:textId="77777777" w:rsidR="00515C45" w:rsidRPr="00A0501E" w:rsidRDefault="00515C45" w:rsidP="00527BB7">
            <w:pPr>
              <w:spacing w:after="0"/>
              <w:contextualSpacing/>
            </w:pPr>
          </w:p>
        </w:tc>
      </w:tr>
      <w:tr w:rsidR="00AE6676" w:rsidRPr="00A0501E" w14:paraId="594E6C0C" w14:textId="77777777" w:rsidTr="00AE6676">
        <w:tc>
          <w:tcPr>
            <w:tcW w:w="9180" w:type="dxa"/>
            <w:gridSpan w:val="2"/>
            <w:tcBorders>
              <w:left w:val="nil"/>
              <w:right w:val="nil"/>
            </w:tcBorders>
            <w:vAlign w:val="center"/>
          </w:tcPr>
          <w:p w14:paraId="594E6C0B" w14:textId="77777777" w:rsidR="00AE6676" w:rsidRPr="00A0501E" w:rsidRDefault="00AE6676" w:rsidP="00527BB7">
            <w:pPr>
              <w:spacing w:after="0"/>
              <w:contextualSpacing/>
            </w:pPr>
            <w:r>
              <w:rPr>
                <w:rFonts w:cs="Times New Roman"/>
                <w:b/>
              </w:rPr>
              <w:t xml:space="preserve">III.B </w:t>
            </w:r>
            <w:r w:rsidRPr="00DA17EC">
              <w:rPr>
                <w:rFonts w:cs="Times New Roman"/>
                <w:b/>
              </w:rPr>
              <w:t>Use probability distributions to describe the behavior of discrete and continuous random variables.</w:t>
            </w:r>
          </w:p>
        </w:tc>
      </w:tr>
      <w:tr w:rsidR="00515C45" w:rsidRPr="00A0501E" w14:paraId="594E6C0F" w14:textId="77777777" w:rsidTr="00AE6676">
        <w:tc>
          <w:tcPr>
            <w:tcW w:w="4590" w:type="dxa"/>
            <w:tcBorders>
              <w:left w:val="nil"/>
            </w:tcBorders>
            <w:vAlign w:val="center"/>
          </w:tcPr>
          <w:p w14:paraId="594E6C0D" w14:textId="77777777" w:rsidR="00515C45" w:rsidRPr="00A52C3C" w:rsidRDefault="00A52C3C" w:rsidP="00A52C3C">
            <w:pPr>
              <w:spacing w:after="0"/>
              <w:contextualSpacing/>
              <w:rPr>
                <w:rFonts w:cs="Times New Roman"/>
                <w:i/>
              </w:rPr>
            </w:pPr>
            <w:r w:rsidRPr="00B42B5C">
              <w:rPr>
                <w:rFonts w:cs="Times New Roman"/>
                <w:i/>
              </w:rPr>
              <w:t xml:space="preserve">III.B.1 </w:t>
            </w:r>
            <w:r w:rsidRPr="00DA17EC">
              <w:rPr>
                <w:rFonts w:cs="Times New Roman"/>
                <w:i/>
              </w:rPr>
              <w:t xml:space="preserve">Distinguish between discrete random variables </w:t>
            </w:r>
            <w:r>
              <w:rPr>
                <w:rFonts w:cs="Times New Roman"/>
                <w:i/>
              </w:rPr>
              <w:t>and continuous random variables.</w:t>
            </w:r>
          </w:p>
        </w:tc>
        <w:tc>
          <w:tcPr>
            <w:tcW w:w="4590" w:type="dxa"/>
            <w:tcBorders>
              <w:right w:val="nil"/>
            </w:tcBorders>
            <w:vAlign w:val="center"/>
          </w:tcPr>
          <w:p w14:paraId="594E6C0E" w14:textId="77777777" w:rsidR="00515C45" w:rsidRPr="00A0501E" w:rsidRDefault="00515C45" w:rsidP="00527BB7">
            <w:pPr>
              <w:spacing w:after="0"/>
              <w:contextualSpacing/>
            </w:pPr>
          </w:p>
        </w:tc>
      </w:tr>
      <w:tr w:rsidR="00515C45" w:rsidRPr="00A0501E" w14:paraId="594E6C15" w14:textId="77777777" w:rsidTr="00AE6676">
        <w:tc>
          <w:tcPr>
            <w:tcW w:w="4590" w:type="dxa"/>
            <w:tcBorders>
              <w:left w:val="nil"/>
            </w:tcBorders>
            <w:vAlign w:val="center"/>
          </w:tcPr>
          <w:p w14:paraId="594E6C13" w14:textId="29466A7B" w:rsidR="00515C45" w:rsidRPr="00B42B5C" w:rsidRDefault="00A52C3C" w:rsidP="00A52C3C">
            <w:pPr>
              <w:spacing w:after="0"/>
              <w:contextualSpacing/>
              <w:rPr>
                <w:rFonts w:cs="Times New Roman"/>
                <w:i/>
              </w:rPr>
            </w:pPr>
            <w:r w:rsidRPr="00B42B5C">
              <w:rPr>
                <w:rFonts w:cs="Times New Roman"/>
                <w:i/>
              </w:rPr>
              <w:t>III.B.</w:t>
            </w:r>
            <w:r w:rsidR="004B47FF">
              <w:rPr>
                <w:rFonts w:cs="Times New Roman"/>
                <w:i/>
              </w:rPr>
              <w:t>2</w:t>
            </w:r>
            <w:r w:rsidRPr="00B42B5C">
              <w:rPr>
                <w:rFonts w:cs="Times New Roman"/>
                <w:i/>
              </w:rPr>
              <w:t xml:space="preserve"> </w:t>
            </w:r>
            <w:r w:rsidRPr="00DA17EC">
              <w:rPr>
                <w:rFonts w:cs="Times New Roman"/>
                <w:i/>
              </w:rPr>
              <w:t xml:space="preserve">Demonstrate an understanding of the mean, standard </w:t>
            </w:r>
            <w:proofErr w:type="gramStart"/>
            <w:r w:rsidRPr="00DA17EC">
              <w:rPr>
                <w:rFonts w:cs="Times New Roman"/>
                <w:i/>
              </w:rPr>
              <w:t>deviation</w:t>
            </w:r>
            <w:proofErr w:type="gramEnd"/>
            <w:r w:rsidRPr="00DA17EC">
              <w:rPr>
                <w:rFonts w:cs="Times New Roman"/>
                <w:i/>
              </w:rPr>
              <w:t xml:space="preserve"> and shape of </w:t>
            </w:r>
            <w:r w:rsidRPr="00DA17EC">
              <w:rPr>
                <w:rFonts w:cs="Times New Roman"/>
                <w:i/>
              </w:rPr>
              <w:lastRenderedPageBreak/>
              <w:t>continuous probability distributions (uniform, normal and skewed).</w:t>
            </w:r>
          </w:p>
        </w:tc>
        <w:tc>
          <w:tcPr>
            <w:tcW w:w="4590" w:type="dxa"/>
            <w:tcBorders>
              <w:right w:val="nil"/>
            </w:tcBorders>
            <w:vAlign w:val="center"/>
          </w:tcPr>
          <w:p w14:paraId="594E6C14" w14:textId="77777777" w:rsidR="00515C45" w:rsidRPr="00A0501E" w:rsidRDefault="00515C45" w:rsidP="00527BB7">
            <w:pPr>
              <w:spacing w:after="0"/>
              <w:contextualSpacing/>
            </w:pPr>
          </w:p>
        </w:tc>
      </w:tr>
      <w:tr w:rsidR="00AE6676" w:rsidRPr="00A0501E" w14:paraId="594E6C17" w14:textId="77777777" w:rsidTr="00AE6676">
        <w:tc>
          <w:tcPr>
            <w:tcW w:w="9180" w:type="dxa"/>
            <w:gridSpan w:val="2"/>
            <w:tcBorders>
              <w:left w:val="nil"/>
              <w:right w:val="nil"/>
            </w:tcBorders>
            <w:vAlign w:val="center"/>
          </w:tcPr>
          <w:p w14:paraId="594E6C16" w14:textId="77777777" w:rsidR="00AE6676" w:rsidRPr="00A0501E" w:rsidRDefault="00AE6676" w:rsidP="00527BB7">
            <w:pPr>
              <w:spacing w:after="0"/>
              <w:contextualSpacing/>
            </w:pPr>
            <w:r>
              <w:rPr>
                <w:rFonts w:cs="Times New Roman"/>
                <w:b/>
              </w:rPr>
              <w:t xml:space="preserve">III.C </w:t>
            </w:r>
            <w:r w:rsidRPr="00DA17EC">
              <w:rPr>
                <w:rFonts w:cs="Times New Roman"/>
                <w:b/>
              </w:rPr>
              <w:t>Understand distributions.</w:t>
            </w:r>
          </w:p>
        </w:tc>
      </w:tr>
      <w:tr w:rsidR="00515C45" w:rsidRPr="00A0501E" w14:paraId="594E6C1A" w14:textId="77777777" w:rsidTr="00AE6676">
        <w:tc>
          <w:tcPr>
            <w:tcW w:w="4590" w:type="dxa"/>
            <w:tcBorders>
              <w:left w:val="nil"/>
            </w:tcBorders>
            <w:vAlign w:val="center"/>
          </w:tcPr>
          <w:p w14:paraId="594E6C18" w14:textId="77777777" w:rsidR="00515C45" w:rsidRPr="00A52C3C" w:rsidRDefault="00A52C3C" w:rsidP="00A52C3C">
            <w:pPr>
              <w:spacing w:after="0"/>
              <w:contextualSpacing/>
              <w:rPr>
                <w:rFonts w:cs="Times New Roman"/>
                <w:i/>
              </w:rPr>
            </w:pPr>
            <w:r w:rsidRPr="00B42B5C">
              <w:rPr>
                <w:rFonts w:cs="Times New Roman"/>
                <w:i/>
              </w:rPr>
              <w:t xml:space="preserve">III.C.1 </w:t>
            </w:r>
            <w:r w:rsidRPr="00DA17EC">
              <w:rPr>
                <w:rFonts w:cs="Times New Roman"/>
                <w:i/>
              </w:rPr>
              <w:t>Distinguish between the distribution of a sample and a sampling distribution.</w:t>
            </w:r>
          </w:p>
        </w:tc>
        <w:tc>
          <w:tcPr>
            <w:tcW w:w="4590" w:type="dxa"/>
            <w:tcBorders>
              <w:right w:val="nil"/>
            </w:tcBorders>
            <w:vAlign w:val="center"/>
          </w:tcPr>
          <w:p w14:paraId="594E6C19" w14:textId="77777777" w:rsidR="00515C45" w:rsidRPr="00A0501E" w:rsidRDefault="00515C45" w:rsidP="00527BB7">
            <w:pPr>
              <w:spacing w:after="0"/>
              <w:contextualSpacing/>
            </w:pPr>
          </w:p>
        </w:tc>
      </w:tr>
      <w:tr w:rsidR="00515C45" w:rsidRPr="00A0501E" w14:paraId="594E6C1D" w14:textId="77777777" w:rsidTr="00AE6676">
        <w:tc>
          <w:tcPr>
            <w:tcW w:w="4590" w:type="dxa"/>
            <w:tcBorders>
              <w:left w:val="nil"/>
            </w:tcBorders>
            <w:vAlign w:val="center"/>
          </w:tcPr>
          <w:p w14:paraId="594E6C1B" w14:textId="77777777" w:rsidR="00515C45" w:rsidRPr="00A52C3C" w:rsidRDefault="00A52C3C" w:rsidP="00A52C3C">
            <w:pPr>
              <w:spacing w:after="0"/>
              <w:contextualSpacing/>
              <w:rPr>
                <w:rFonts w:cs="Times New Roman"/>
                <w:i/>
              </w:rPr>
            </w:pPr>
            <w:r w:rsidRPr="00B42B5C">
              <w:rPr>
                <w:rFonts w:cs="Times New Roman"/>
                <w:i/>
              </w:rPr>
              <w:t xml:space="preserve">III.C.2 </w:t>
            </w:r>
            <w:r w:rsidRPr="00DA17EC">
              <w:rPr>
                <w:rFonts w:cs="Times New Roman"/>
                <w:i/>
              </w:rPr>
              <w:t>Describe the sampling distributions of a sample mean and sample proportion in terms of center, shape and spread.</w:t>
            </w:r>
          </w:p>
        </w:tc>
        <w:tc>
          <w:tcPr>
            <w:tcW w:w="4590" w:type="dxa"/>
            <w:tcBorders>
              <w:right w:val="nil"/>
            </w:tcBorders>
            <w:vAlign w:val="center"/>
          </w:tcPr>
          <w:p w14:paraId="594E6C1C" w14:textId="77777777" w:rsidR="00515C45" w:rsidRPr="00A0501E" w:rsidRDefault="00515C45" w:rsidP="00527BB7">
            <w:pPr>
              <w:spacing w:after="0"/>
              <w:contextualSpacing/>
            </w:pPr>
          </w:p>
        </w:tc>
      </w:tr>
      <w:tr w:rsidR="00515C45" w:rsidRPr="00A0501E" w14:paraId="594E6C20" w14:textId="77777777" w:rsidTr="00AE6676">
        <w:tc>
          <w:tcPr>
            <w:tcW w:w="4590" w:type="dxa"/>
            <w:tcBorders>
              <w:left w:val="nil"/>
            </w:tcBorders>
            <w:vAlign w:val="center"/>
          </w:tcPr>
          <w:p w14:paraId="594E6C1E" w14:textId="77777777" w:rsidR="00515C45" w:rsidRPr="00A52C3C" w:rsidRDefault="00A52C3C" w:rsidP="00A52C3C">
            <w:pPr>
              <w:spacing w:after="0"/>
              <w:contextualSpacing/>
              <w:rPr>
                <w:rFonts w:cs="Times New Roman"/>
                <w:i/>
              </w:rPr>
            </w:pPr>
            <w:r w:rsidRPr="00B42B5C">
              <w:rPr>
                <w:rFonts w:cs="Times New Roman"/>
                <w:i/>
              </w:rPr>
              <w:t xml:space="preserve">III.C.3 </w:t>
            </w:r>
            <w:r w:rsidRPr="00DA17EC">
              <w:rPr>
                <w:rFonts w:cs="Times New Roman"/>
                <w:i/>
              </w:rPr>
              <w:t>Explain how these relate to sample size.</w:t>
            </w:r>
          </w:p>
        </w:tc>
        <w:tc>
          <w:tcPr>
            <w:tcW w:w="4590" w:type="dxa"/>
            <w:tcBorders>
              <w:right w:val="nil"/>
            </w:tcBorders>
            <w:vAlign w:val="center"/>
          </w:tcPr>
          <w:p w14:paraId="594E6C1F" w14:textId="77777777" w:rsidR="00515C45" w:rsidRPr="00A0501E" w:rsidRDefault="00515C45" w:rsidP="00527BB7">
            <w:pPr>
              <w:spacing w:after="0"/>
              <w:contextualSpacing/>
            </w:pPr>
          </w:p>
        </w:tc>
      </w:tr>
      <w:tr w:rsidR="00515C45" w:rsidRPr="00A0501E" w14:paraId="594E6C23" w14:textId="77777777" w:rsidTr="00AE6676">
        <w:tc>
          <w:tcPr>
            <w:tcW w:w="4590" w:type="dxa"/>
            <w:tcBorders>
              <w:left w:val="nil"/>
            </w:tcBorders>
            <w:vAlign w:val="center"/>
          </w:tcPr>
          <w:p w14:paraId="594E6C21" w14:textId="77777777" w:rsidR="00515C45" w:rsidRPr="00B42B5C" w:rsidRDefault="00A52C3C" w:rsidP="00A52C3C">
            <w:pPr>
              <w:spacing w:after="0"/>
              <w:contextualSpacing/>
              <w:rPr>
                <w:rFonts w:cs="Times New Roman"/>
                <w:i/>
              </w:rPr>
            </w:pPr>
            <w:r w:rsidRPr="00B42B5C">
              <w:rPr>
                <w:rFonts w:cs="Times New Roman"/>
                <w:i/>
              </w:rPr>
              <w:t xml:space="preserve">III.C.4 </w:t>
            </w:r>
            <w:r w:rsidRPr="00DA17EC">
              <w:rPr>
                <w:rFonts w:cs="Times New Roman"/>
                <w:i/>
              </w:rPr>
              <w:t>Identify when the use of the normal distribution is appropriate.</w:t>
            </w:r>
          </w:p>
        </w:tc>
        <w:tc>
          <w:tcPr>
            <w:tcW w:w="4590" w:type="dxa"/>
            <w:tcBorders>
              <w:right w:val="nil"/>
            </w:tcBorders>
            <w:vAlign w:val="center"/>
          </w:tcPr>
          <w:p w14:paraId="594E6C22" w14:textId="77777777" w:rsidR="00515C45" w:rsidRPr="00A0501E" w:rsidRDefault="00515C45" w:rsidP="00527BB7">
            <w:pPr>
              <w:spacing w:after="0"/>
              <w:contextualSpacing/>
            </w:pPr>
          </w:p>
        </w:tc>
      </w:tr>
    </w:tbl>
    <w:p w14:paraId="594E6C24" w14:textId="77777777" w:rsidR="00515C45" w:rsidRDefault="00515C45"/>
    <w:p w14:paraId="594E6C25" w14:textId="77777777" w:rsidR="00A52C3C" w:rsidRPr="00DA17EC" w:rsidRDefault="00A52C3C" w:rsidP="00A52C3C">
      <w:pPr>
        <w:numPr>
          <w:ilvl w:val="0"/>
          <w:numId w:val="1"/>
        </w:numPr>
        <w:spacing w:after="0"/>
        <w:ind w:left="360" w:hanging="360"/>
        <w:contextualSpacing/>
        <w:rPr>
          <w:rFonts w:cs="Times New Roman"/>
        </w:rPr>
      </w:pPr>
      <w:r w:rsidRPr="00DA17EC">
        <w:rPr>
          <w:rFonts w:cs="Times New Roman"/>
          <w:b/>
        </w:rPr>
        <w:t>Statistical Inference</w:t>
      </w:r>
    </w:p>
    <w:p w14:paraId="594E6C26" w14:textId="77777777" w:rsidR="00A52C3C" w:rsidRPr="00DA17EC" w:rsidRDefault="00A52C3C" w:rsidP="00A52C3C">
      <w:pPr>
        <w:spacing w:after="0"/>
        <w:rPr>
          <w:rFonts w:cs="Times New Roman"/>
        </w:rPr>
      </w:pPr>
      <w:r w:rsidRPr="00DA17EC">
        <w:rPr>
          <w:rFonts w:cs="Times New Roman"/>
        </w:rPr>
        <w:t>Students will use statistical models to draw conclusions from data.  Specifically, students will be able to:</w:t>
      </w:r>
    </w:p>
    <w:tbl>
      <w:tblPr>
        <w:tblStyle w:val="TableGrid"/>
        <w:tblW w:w="0" w:type="auto"/>
        <w:tblInd w:w="198" w:type="dxa"/>
        <w:tblLook w:val="04A0" w:firstRow="1" w:lastRow="0" w:firstColumn="1" w:lastColumn="0" w:noHBand="0" w:noVBand="1"/>
      </w:tblPr>
      <w:tblGrid>
        <w:gridCol w:w="4576"/>
        <w:gridCol w:w="4576"/>
      </w:tblGrid>
      <w:tr w:rsidR="00A52C3C" w:rsidRPr="00A0501E" w14:paraId="594E6C29" w14:textId="77777777" w:rsidTr="00AE6676">
        <w:tc>
          <w:tcPr>
            <w:tcW w:w="4590" w:type="dxa"/>
            <w:tcBorders>
              <w:bottom w:val="single" w:sz="4" w:space="0" w:color="auto"/>
            </w:tcBorders>
            <w:vAlign w:val="bottom"/>
          </w:tcPr>
          <w:p w14:paraId="594E6C27" w14:textId="77777777" w:rsidR="00A52C3C" w:rsidRPr="00A0501E" w:rsidRDefault="00A52C3C" w:rsidP="00527BB7">
            <w:pPr>
              <w:spacing w:after="0"/>
              <w:contextualSpacing/>
              <w:jc w:val="center"/>
              <w:rPr>
                <w:b/>
              </w:rPr>
            </w:pPr>
            <w:r w:rsidRPr="00A0501E">
              <w:rPr>
                <w:b/>
              </w:rPr>
              <w:t>Statewide SLOs</w:t>
            </w:r>
          </w:p>
        </w:tc>
        <w:tc>
          <w:tcPr>
            <w:tcW w:w="4590" w:type="dxa"/>
            <w:tcBorders>
              <w:bottom w:val="single" w:sz="4" w:space="0" w:color="auto"/>
            </w:tcBorders>
            <w:vAlign w:val="bottom"/>
          </w:tcPr>
          <w:p w14:paraId="594E6C28" w14:textId="77777777" w:rsidR="00A52C3C" w:rsidRPr="00A0501E" w:rsidRDefault="00A52C3C" w:rsidP="00527BB7">
            <w:pPr>
              <w:spacing w:after="0"/>
              <w:contextualSpacing/>
              <w:jc w:val="center"/>
              <w:rPr>
                <w:b/>
              </w:rPr>
            </w:pPr>
            <w:r w:rsidRPr="00A0501E">
              <w:rPr>
                <w:b/>
              </w:rPr>
              <w:t>Institutional Alignment</w:t>
            </w:r>
          </w:p>
        </w:tc>
      </w:tr>
      <w:tr w:rsidR="00AE6676" w:rsidRPr="00A0501E" w14:paraId="594E6C2B" w14:textId="77777777" w:rsidTr="00AE6676">
        <w:tc>
          <w:tcPr>
            <w:tcW w:w="9180" w:type="dxa"/>
            <w:gridSpan w:val="2"/>
            <w:tcBorders>
              <w:left w:val="nil"/>
              <w:right w:val="nil"/>
            </w:tcBorders>
            <w:vAlign w:val="center"/>
          </w:tcPr>
          <w:p w14:paraId="594E6C2A" w14:textId="77777777" w:rsidR="00AE6676" w:rsidRPr="00A0501E" w:rsidRDefault="00AE6676" w:rsidP="00527BB7">
            <w:pPr>
              <w:spacing w:after="0"/>
              <w:contextualSpacing/>
            </w:pPr>
            <w:r>
              <w:rPr>
                <w:rFonts w:cs="Times New Roman"/>
                <w:b/>
              </w:rPr>
              <w:t xml:space="preserve">IV.A </w:t>
            </w:r>
            <w:r w:rsidRPr="00DA17EC">
              <w:rPr>
                <w:rFonts w:cs="Times New Roman"/>
                <w:b/>
              </w:rPr>
              <w:t>Estimate population parameters including confidence intervals when appropriate.</w:t>
            </w:r>
          </w:p>
        </w:tc>
      </w:tr>
      <w:tr w:rsidR="00A52C3C" w:rsidRPr="00A0501E" w14:paraId="594E6C2E" w14:textId="77777777" w:rsidTr="00AE6676">
        <w:tc>
          <w:tcPr>
            <w:tcW w:w="4590" w:type="dxa"/>
            <w:tcBorders>
              <w:left w:val="nil"/>
              <w:right w:val="nil"/>
            </w:tcBorders>
            <w:vAlign w:val="center"/>
          </w:tcPr>
          <w:p w14:paraId="594E6C2C" w14:textId="77777777" w:rsidR="00A52C3C" w:rsidRPr="00A52C3C" w:rsidRDefault="00A52C3C" w:rsidP="00A52C3C">
            <w:pPr>
              <w:spacing w:after="0"/>
              <w:contextualSpacing/>
              <w:rPr>
                <w:rFonts w:cs="Times New Roman"/>
                <w:i/>
              </w:rPr>
            </w:pPr>
            <w:r w:rsidRPr="00B42B5C">
              <w:rPr>
                <w:rFonts w:cs="Times New Roman"/>
                <w:i/>
              </w:rPr>
              <w:t xml:space="preserve">IV.A.1 </w:t>
            </w:r>
            <w:r w:rsidRPr="00DA17EC">
              <w:rPr>
                <w:rFonts w:cs="Times New Roman"/>
                <w:i/>
              </w:rPr>
              <w:t>Verify that the appropriate conditions have been met.</w:t>
            </w:r>
          </w:p>
        </w:tc>
        <w:tc>
          <w:tcPr>
            <w:tcW w:w="4590" w:type="dxa"/>
            <w:tcBorders>
              <w:left w:val="nil"/>
              <w:right w:val="nil"/>
            </w:tcBorders>
            <w:vAlign w:val="center"/>
          </w:tcPr>
          <w:p w14:paraId="594E6C2D" w14:textId="77777777" w:rsidR="00A52C3C" w:rsidRPr="00A0501E" w:rsidRDefault="00A52C3C" w:rsidP="00527BB7">
            <w:pPr>
              <w:spacing w:after="0"/>
              <w:contextualSpacing/>
            </w:pPr>
          </w:p>
        </w:tc>
      </w:tr>
      <w:tr w:rsidR="00A52C3C" w:rsidRPr="00A0501E" w14:paraId="594E6C31" w14:textId="77777777" w:rsidTr="00AE6676">
        <w:tc>
          <w:tcPr>
            <w:tcW w:w="4590" w:type="dxa"/>
            <w:tcBorders>
              <w:left w:val="nil"/>
            </w:tcBorders>
            <w:vAlign w:val="center"/>
          </w:tcPr>
          <w:p w14:paraId="594E6C2F" w14:textId="77777777" w:rsidR="00A52C3C" w:rsidRPr="00A52C3C" w:rsidRDefault="00A52C3C" w:rsidP="00A52C3C">
            <w:pPr>
              <w:spacing w:after="0"/>
              <w:contextualSpacing/>
              <w:rPr>
                <w:rFonts w:cs="Times New Roman"/>
                <w:i/>
              </w:rPr>
            </w:pPr>
            <w:r w:rsidRPr="00B42B5C">
              <w:rPr>
                <w:rFonts w:cs="Times New Roman"/>
                <w:i/>
              </w:rPr>
              <w:t xml:space="preserve">IV.A.2 </w:t>
            </w:r>
            <w:r w:rsidRPr="00DA17EC">
              <w:rPr>
                <w:rFonts w:cs="Times New Roman"/>
                <w:i/>
              </w:rPr>
              <w:t>Construct one-sample confidence intervals for means and for proportions.</w:t>
            </w:r>
          </w:p>
        </w:tc>
        <w:tc>
          <w:tcPr>
            <w:tcW w:w="4590" w:type="dxa"/>
            <w:tcBorders>
              <w:right w:val="nil"/>
            </w:tcBorders>
            <w:vAlign w:val="center"/>
          </w:tcPr>
          <w:p w14:paraId="594E6C30" w14:textId="77777777" w:rsidR="00A52C3C" w:rsidRPr="00A0501E" w:rsidRDefault="00A52C3C" w:rsidP="00527BB7">
            <w:pPr>
              <w:spacing w:after="0"/>
              <w:contextualSpacing/>
            </w:pPr>
          </w:p>
        </w:tc>
      </w:tr>
      <w:tr w:rsidR="00A52C3C" w:rsidRPr="00A0501E" w14:paraId="594E6C34" w14:textId="77777777" w:rsidTr="00AE6676">
        <w:tc>
          <w:tcPr>
            <w:tcW w:w="4590" w:type="dxa"/>
            <w:tcBorders>
              <w:left w:val="nil"/>
            </w:tcBorders>
            <w:vAlign w:val="center"/>
          </w:tcPr>
          <w:p w14:paraId="594E6C32" w14:textId="6D293FC4" w:rsidR="00A52C3C" w:rsidRPr="00A52C3C" w:rsidRDefault="00A52C3C" w:rsidP="00A52C3C">
            <w:pPr>
              <w:spacing w:after="0"/>
              <w:contextualSpacing/>
              <w:rPr>
                <w:rFonts w:cs="Times New Roman"/>
                <w:i/>
              </w:rPr>
            </w:pPr>
            <w:r w:rsidRPr="00B42B5C">
              <w:rPr>
                <w:rFonts w:cs="Times New Roman"/>
                <w:i/>
              </w:rPr>
              <w:t xml:space="preserve">IV.A.3 </w:t>
            </w:r>
            <w:r w:rsidRPr="00DA17EC">
              <w:rPr>
                <w:rFonts w:cs="Times New Roman"/>
                <w:i/>
              </w:rPr>
              <w:t>Construct two-sample confidence intervals for means</w:t>
            </w:r>
            <w:r w:rsidR="00CB425F">
              <w:rPr>
                <w:rFonts w:cs="Times New Roman"/>
                <w:i/>
              </w:rPr>
              <w:t xml:space="preserve"> or proportions.</w:t>
            </w:r>
          </w:p>
        </w:tc>
        <w:tc>
          <w:tcPr>
            <w:tcW w:w="4590" w:type="dxa"/>
            <w:tcBorders>
              <w:right w:val="nil"/>
            </w:tcBorders>
            <w:vAlign w:val="center"/>
          </w:tcPr>
          <w:p w14:paraId="594E6C33" w14:textId="77777777" w:rsidR="00A52C3C" w:rsidRPr="00A0501E" w:rsidRDefault="00A52C3C" w:rsidP="00527BB7">
            <w:pPr>
              <w:spacing w:after="0"/>
              <w:contextualSpacing/>
            </w:pPr>
          </w:p>
        </w:tc>
      </w:tr>
      <w:tr w:rsidR="00A52C3C" w:rsidRPr="00A0501E" w14:paraId="594E6C37" w14:textId="77777777" w:rsidTr="00AE6676">
        <w:tc>
          <w:tcPr>
            <w:tcW w:w="4590" w:type="dxa"/>
            <w:tcBorders>
              <w:left w:val="nil"/>
            </w:tcBorders>
            <w:vAlign w:val="center"/>
          </w:tcPr>
          <w:p w14:paraId="594E6C35" w14:textId="77777777" w:rsidR="00A52C3C" w:rsidRPr="00B42B5C" w:rsidRDefault="00A52C3C" w:rsidP="00A52C3C">
            <w:pPr>
              <w:spacing w:after="0"/>
              <w:contextualSpacing/>
              <w:rPr>
                <w:rFonts w:cs="Times New Roman"/>
                <w:i/>
              </w:rPr>
            </w:pPr>
            <w:r w:rsidRPr="00B42B5C">
              <w:rPr>
                <w:rFonts w:cs="Times New Roman"/>
                <w:i/>
              </w:rPr>
              <w:t xml:space="preserve">IV.A.4 </w:t>
            </w:r>
            <w:r w:rsidRPr="00DA17EC">
              <w:rPr>
                <w:rFonts w:cs="Times New Roman"/>
                <w:i/>
              </w:rPr>
              <w:t>Interpret confidence intervals in context and explain the meaning of the confidence level associated with a confidence interval estimate.</w:t>
            </w:r>
          </w:p>
        </w:tc>
        <w:tc>
          <w:tcPr>
            <w:tcW w:w="4590" w:type="dxa"/>
            <w:tcBorders>
              <w:right w:val="nil"/>
            </w:tcBorders>
            <w:vAlign w:val="center"/>
          </w:tcPr>
          <w:p w14:paraId="594E6C36" w14:textId="77777777" w:rsidR="00A52C3C" w:rsidRPr="00A0501E" w:rsidRDefault="00A52C3C" w:rsidP="00527BB7">
            <w:pPr>
              <w:spacing w:after="0"/>
              <w:contextualSpacing/>
            </w:pPr>
          </w:p>
        </w:tc>
      </w:tr>
      <w:tr w:rsidR="00AE6676" w:rsidRPr="00A0501E" w14:paraId="594E6C39" w14:textId="77777777" w:rsidTr="00AE6676">
        <w:tc>
          <w:tcPr>
            <w:tcW w:w="9180" w:type="dxa"/>
            <w:gridSpan w:val="2"/>
            <w:tcBorders>
              <w:left w:val="nil"/>
              <w:right w:val="nil"/>
            </w:tcBorders>
            <w:vAlign w:val="center"/>
          </w:tcPr>
          <w:p w14:paraId="594E6C38" w14:textId="77777777" w:rsidR="00AE6676" w:rsidRPr="00A0501E" w:rsidRDefault="00AE6676" w:rsidP="00527BB7">
            <w:pPr>
              <w:spacing w:after="0"/>
              <w:contextualSpacing/>
            </w:pPr>
            <w:r>
              <w:rPr>
                <w:rFonts w:cs="Times New Roman"/>
                <w:b/>
              </w:rPr>
              <w:t xml:space="preserve">IV.B </w:t>
            </w:r>
            <w:r w:rsidRPr="00DA17EC">
              <w:rPr>
                <w:rFonts w:cs="Times New Roman"/>
                <w:b/>
              </w:rPr>
              <w:t>Conduct tests of significance when appropriate.</w:t>
            </w:r>
          </w:p>
        </w:tc>
      </w:tr>
      <w:tr w:rsidR="00A52C3C" w:rsidRPr="00A0501E" w14:paraId="594E6C3C" w14:textId="77777777" w:rsidTr="00AE6676">
        <w:tc>
          <w:tcPr>
            <w:tcW w:w="4590" w:type="dxa"/>
            <w:tcBorders>
              <w:left w:val="nil"/>
            </w:tcBorders>
            <w:vAlign w:val="center"/>
          </w:tcPr>
          <w:p w14:paraId="594E6C3A" w14:textId="77777777" w:rsidR="00A52C3C" w:rsidRPr="00A52C3C" w:rsidRDefault="00A52C3C" w:rsidP="00A52C3C">
            <w:pPr>
              <w:spacing w:after="0"/>
              <w:contextualSpacing/>
              <w:rPr>
                <w:rFonts w:cs="Times New Roman"/>
                <w:i/>
              </w:rPr>
            </w:pPr>
            <w:r w:rsidRPr="00B42B5C">
              <w:rPr>
                <w:rFonts w:cs="Times New Roman"/>
                <w:i/>
              </w:rPr>
              <w:t xml:space="preserve">IV.B.1 </w:t>
            </w:r>
            <w:r w:rsidRPr="00DA17EC">
              <w:rPr>
                <w:rFonts w:cs="Times New Roman"/>
                <w:i/>
              </w:rPr>
              <w:t>Verify that the appropriate conditions have been met.</w:t>
            </w:r>
          </w:p>
        </w:tc>
        <w:tc>
          <w:tcPr>
            <w:tcW w:w="4590" w:type="dxa"/>
            <w:tcBorders>
              <w:right w:val="nil"/>
            </w:tcBorders>
            <w:vAlign w:val="center"/>
          </w:tcPr>
          <w:p w14:paraId="594E6C3B" w14:textId="77777777" w:rsidR="00A52C3C" w:rsidRPr="00A0501E" w:rsidRDefault="00A52C3C" w:rsidP="00527BB7">
            <w:pPr>
              <w:spacing w:after="0"/>
              <w:contextualSpacing/>
            </w:pPr>
          </w:p>
        </w:tc>
      </w:tr>
      <w:tr w:rsidR="00A52C3C" w:rsidRPr="00A0501E" w14:paraId="594E6C3F" w14:textId="77777777" w:rsidTr="00AE6676">
        <w:tc>
          <w:tcPr>
            <w:tcW w:w="4590" w:type="dxa"/>
            <w:tcBorders>
              <w:left w:val="nil"/>
            </w:tcBorders>
            <w:vAlign w:val="center"/>
          </w:tcPr>
          <w:p w14:paraId="594E6C3D" w14:textId="7B274A53" w:rsidR="00A52C3C" w:rsidRPr="00A52C3C" w:rsidRDefault="00A52C3C" w:rsidP="00A52C3C">
            <w:pPr>
              <w:spacing w:after="0"/>
              <w:contextualSpacing/>
              <w:rPr>
                <w:rFonts w:cs="Times New Roman"/>
                <w:i/>
              </w:rPr>
            </w:pPr>
            <w:r w:rsidRPr="00B42B5C">
              <w:rPr>
                <w:rFonts w:cs="Times New Roman"/>
                <w:i/>
              </w:rPr>
              <w:t xml:space="preserve">IV.B.2 </w:t>
            </w:r>
            <w:r w:rsidRPr="00DA17EC">
              <w:rPr>
                <w:rFonts w:cs="Times New Roman"/>
                <w:i/>
              </w:rPr>
              <w:t xml:space="preserve">Carry out one-sample hypothesis tests for means </w:t>
            </w:r>
            <w:r w:rsidR="00857987">
              <w:rPr>
                <w:rFonts w:cs="Times New Roman"/>
                <w:i/>
              </w:rPr>
              <w:t>or</w:t>
            </w:r>
            <w:r w:rsidRPr="00DA17EC">
              <w:rPr>
                <w:rFonts w:cs="Times New Roman"/>
                <w:i/>
              </w:rPr>
              <w:t xml:space="preserve"> proportions.</w:t>
            </w:r>
          </w:p>
        </w:tc>
        <w:tc>
          <w:tcPr>
            <w:tcW w:w="4590" w:type="dxa"/>
            <w:tcBorders>
              <w:right w:val="nil"/>
            </w:tcBorders>
            <w:vAlign w:val="center"/>
          </w:tcPr>
          <w:p w14:paraId="594E6C3E" w14:textId="77777777" w:rsidR="00A52C3C" w:rsidRPr="00A0501E" w:rsidRDefault="00A52C3C" w:rsidP="00527BB7">
            <w:pPr>
              <w:spacing w:after="0"/>
              <w:contextualSpacing/>
            </w:pPr>
          </w:p>
        </w:tc>
      </w:tr>
      <w:tr w:rsidR="00A52C3C" w:rsidRPr="00A0501E" w14:paraId="594E6C42" w14:textId="77777777" w:rsidTr="00AE6676">
        <w:tc>
          <w:tcPr>
            <w:tcW w:w="4590" w:type="dxa"/>
            <w:tcBorders>
              <w:left w:val="nil"/>
            </w:tcBorders>
            <w:vAlign w:val="center"/>
          </w:tcPr>
          <w:p w14:paraId="594E6C40" w14:textId="0782093D" w:rsidR="00A52C3C" w:rsidRPr="00A52C3C" w:rsidRDefault="00A52C3C" w:rsidP="00A52C3C">
            <w:pPr>
              <w:spacing w:after="0"/>
              <w:contextualSpacing/>
              <w:rPr>
                <w:rFonts w:cs="Times New Roman"/>
                <w:i/>
              </w:rPr>
            </w:pPr>
            <w:r w:rsidRPr="00B42B5C">
              <w:rPr>
                <w:rFonts w:cs="Times New Roman"/>
                <w:i/>
              </w:rPr>
              <w:t xml:space="preserve">IV.B.3 </w:t>
            </w:r>
            <w:r w:rsidRPr="00DA17EC">
              <w:rPr>
                <w:rFonts w:cs="Times New Roman"/>
                <w:i/>
              </w:rPr>
              <w:t>Carry out two-sample hypothesis tests for means</w:t>
            </w:r>
            <w:r w:rsidR="00857987">
              <w:rPr>
                <w:rFonts w:cs="Times New Roman"/>
                <w:i/>
              </w:rPr>
              <w:t xml:space="preserve"> or proportions</w:t>
            </w:r>
            <w:r>
              <w:rPr>
                <w:rFonts w:cs="Times New Roman"/>
                <w:i/>
              </w:rPr>
              <w:t>.</w:t>
            </w:r>
          </w:p>
        </w:tc>
        <w:tc>
          <w:tcPr>
            <w:tcW w:w="4590" w:type="dxa"/>
            <w:tcBorders>
              <w:right w:val="nil"/>
            </w:tcBorders>
            <w:vAlign w:val="center"/>
          </w:tcPr>
          <w:p w14:paraId="594E6C41" w14:textId="77777777" w:rsidR="00A52C3C" w:rsidRPr="00A0501E" w:rsidRDefault="00A52C3C" w:rsidP="00527BB7">
            <w:pPr>
              <w:spacing w:after="0"/>
              <w:contextualSpacing/>
            </w:pPr>
          </w:p>
        </w:tc>
      </w:tr>
      <w:tr w:rsidR="00A52C3C" w:rsidRPr="00A0501E" w14:paraId="594E6C45" w14:textId="77777777" w:rsidTr="00AE6676">
        <w:tc>
          <w:tcPr>
            <w:tcW w:w="4590" w:type="dxa"/>
            <w:tcBorders>
              <w:left w:val="nil"/>
            </w:tcBorders>
            <w:vAlign w:val="center"/>
          </w:tcPr>
          <w:p w14:paraId="594E6C43" w14:textId="0F28A4D7" w:rsidR="00A52C3C" w:rsidRPr="00A52C3C" w:rsidRDefault="00A52C3C" w:rsidP="00A52C3C">
            <w:pPr>
              <w:spacing w:after="0"/>
              <w:contextualSpacing/>
              <w:rPr>
                <w:rFonts w:cs="Times New Roman"/>
                <w:i/>
              </w:rPr>
            </w:pPr>
            <w:r w:rsidRPr="00B42B5C">
              <w:rPr>
                <w:rFonts w:cs="Times New Roman"/>
                <w:i/>
              </w:rPr>
              <w:t xml:space="preserve">IV.B.4 </w:t>
            </w:r>
            <w:r w:rsidRPr="00DA17EC">
              <w:rPr>
                <w:rFonts w:cs="Times New Roman"/>
                <w:i/>
              </w:rPr>
              <w:t>Interpret the meaning of rejection of the null hypothesis and of failure to reject the null hypothesis, in context.</w:t>
            </w:r>
          </w:p>
        </w:tc>
        <w:tc>
          <w:tcPr>
            <w:tcW w:w="4590" w:type="dxa"/>
            <w:tcBorders>
              <w:right w:val="nil"/>
            </w:tcBorders>
            <w:vAlign w:val="center"/>
          </w:tcPr>
          <w:p w14:paraId="594E6C44" w14:textId="77777777" w:rsidR="00A52C3C" w:rsidRPr="00A0501E" w:rsidRDefault="00A52C3C" w:rsidP="00527BB7">
            <w:pPr>
              <w:spacing w:after="0"/>
              <w:contextualSpacing/>
            </w:pPr>
          </w:p>
        </w:tc>
      </w:tr>
      <w:tr w:rsidR="00A52C3C" w:rsidRPr="00A0501E" w14:paraId="594E6C48" w14:textId="77777777" w:rsidTr="00AE6676">
        <w:tc>
          <w:tcPr>
            <w:tcW w:w="4590" w:type="dxa"/>
            <w:tcBorders>
              <w:left w:val="nil"/>
            </w:tcBorders>
            <w:vAlign w:val="center"/>
          </w:tcPr>
          <w:p w14:paraId="594E6C46" w14:textId="77777777" w:rsidR="00A52C3C" w:rsidRPr="00B42B5C" w:rsidRDefault="00A52C3C" w:rsidP="00A52C3C">
            <w:pPr>
              <w:spacing w:after="0"/>
              <w:contextualSpacing/>
              <w:rPr>
                <w:rFonts w:cs="Times New Roman"/>
                <w:i/>
              </w:rPr>
            </w:pPr>
            <w:r w:rsidRPr="00B42B5C">
              <w:rPr>
                <w:rFonts w:cs="Times New Roman"/>
                <w:i/>
              </w:rPr>
              <w:t xml:space="preserve">IV.B.5 </w:t>
            </w:r>
            <w:r w:rsidRPr="00DA17EC">
              <w:rPr>
                <w:rFonts w:cs="Times New Roman"/>
                <w:i/>
              </w:rPr>
              <w:t>Demonstrate an understanding of the use of a p-value to reach a conclusion and of the difference between practical significance and statistical significance.</w:t>
            </w:r>
          </w:p>
        </w:tc>
        <w:tc>
          <w:tcPr>
            <w:tcW w:w="4590" w:type="dxa"/>
            <w:tcBorders>
              <w:right w:val="nil"/>
            </w:tcBorders>
            <w:vAlign w:val="center"/>
          </w:tcPr>
          <w:p w14:paraId="594E6C47" w14:textId="77777777" w:rsidR="00A52C3C" w:rsidRPr="00A0501E" w:rsidRDefault="00A52C3C" w:rsidP="00527BB7">
            <w:pPr>
              <w:spacing w:after="0"/>
              <w:contextualSpacing/>
            </w:pPr>
          </w:p>
        </w:tc>
      </w:tr>
    </w:tbl>
    <w:p w14:paraId="594E6C49" w14:textId="77777777" w:rsidR="00A52C3C" w:rsidRDefault="00A52C3C"/>
    <w:p w14:paraId="594E6C4A" w14:textId="77777777" w:rsidR="00A52C3C" w:rsidRPr="00A52C3C" w:rsidRDefault="00A52C3C" w:rsidP="00A52C3C">
      <w:pPr>
        <w:spacing w:after="0"/>
        <w:contextualSpacing/>
        <w:rPr>
          <w:rFonts w:cs="Times New Roman"/>
          <w:b/>
        </w:rPr>
      </w:pPr>
      <w:r w:rsidRPr="00DA17EC">
        <w:rPr>
          <w:rFonts w:cs="Times New Roman"/>
          <w:b/>
        </w:rPr>
        <w:t>V. Regression Modeling</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576"/>
      </w:tblGrid>
      <w:tr w:rsidR="00A52C3C" w:rsidRPr="00A0501E" w14:paraId="594E6C4D" w14:textId="77777777" w:rsidTr="00527BB7">
        <w:tc>
          <w:tcPr>
            <w:tcW w:w="4590" w:type="dxa"/>
            <w:tcBorders>
              <w:top w:val="single" w:sz="4" w:space="0" w:color="auto"/>
              <w:left w:val="single" w:sz="4" w:space="0" w:color="auto"/>
              <w:bottom w:val="single" w:sz="4" w:space="0" w:color="auto"/>
              <w:right w:val="single" w:sz="4" w:space="0" w:color="auto"/>
            </w:tcBorders>
            <w:vAlign w:val="bottom"/>
          </w:tcPr>
          <w:p w14:paraId="594E6C4B" w14:textId="77777777" w:rsidR="00A52C3C" w:rsidRPr="00A0501E" w:rsidRDefault="00A52C3C" w:rsidP="00527BB7">
            <w:pPr>
              <w:spacing w:after="0"/>
              <w:jc w:val="center"/>
              <w:rPr>
                <w:b/>
              </w:rPr>
            </w:pPr>
            <w:r w:rsidRPr="00A0501E">
              <w:rPr>
                <w:b/>
              </w:rPr>
              <w:t>Statewide SLOs</w:t>
            </w:r>
          </w:p>
        </w:tc>
        <w:tc>
          <w:tcPr>
            <w:tcW w:w="4590" w:type="dxa"/>
            <w:tcBorders>
              <w:top w:val="single" w:sz="4" w:space="0" w:color="auto"/>
              <w:left w:val="single" w:sz="4" w:space="0" w:color="auto"/>
              <w:bottom w:val="single" w:sz="4" w:space="0" w:color="auto"/>
              <w:right w:val="single" w:sz="4" w:space="0" w:color="auto"/>
            </w:tcBorders>
            <w:vAlign w:val="bottom"/>
          </w:tcPr>
          <w:p w14:paraId="594E6C4C" w14:textId="77777777" w:rsidR="00A52C3C" w:rsidRPr="00A0501E" w:rsidRDefault="00A52C3C" w:rsidP="00527BB7">
            <w:pPr>
              <w:spacing w:after="0"/>
              <w:jc w:val="center"/>
              <w:rPr>
                <w:b/>
              </w:rPr>
            </w:pPr>
            <w:r w:rsidRPr="00A0501E">
              <w:rPr>
                <w:b/>
              </w:rPr>
              <w:t>Institutional</w:t>
            </w:r>
            <w:r>
              <w:rPr>
                <w:b/>
              </w:rPr>
              <w:t xml:space="preserve"> Course</w:t>
            </w:r>
            <w:r w:rsidRPr="00A0501E">
              <w:rPr>
                <w:b/>
              </w:rPr>
              <w:t xml:space="preserve"> Alignment</w:t>
            </w:r>
          </w:p>
        </w:tc>
      </w:tr>
      <w:tr w:rsidR="00A52C3C" w:rsidRPr="00A0501E" w14:paraId="594E6C50" w14:textId="77777777" w:rsidTr="00527BB7">
        <w:tc>
          <w:tcPr>
            <w:tcW w:w="4590" w:type="dxa"/>
            <w:tcBorders>
              <w:top w:val="single" w:sz="4" w:space="0" w:color="auto"/>
              <w:bottom w:val="single" w:sz="4" w:space="0" w:color="auto"/>
              <w:right w:val="single" w:sz="4" w:space="0" w:color="auto"/>
            </w:tcBorders>
            <w:vAlign w:val="center"/>
          </w:tcPr>
          <w:p w14:paraId="594E6C4E" w14:textId="77777777" w:rsidR="00A52C3C" w:rsidRPr="00B42B5C" w:rsidRDefault="00A52C3C" w:rsidP="00B42B5C">
            <w:pPr>
              <w:spacing w:after="0"/>
              <w:contextualSpacing/>
              <w:rPr>
                <w:rFonts w:cs="Times New Roman"/>
                <w:i/>
              </w:rPr>
            </w:pPr>
            <w:r w:rsidRPr="00B42B5C">
              <w:rPr>
                <w:rFonts w:cs="Times New Roman"/>
                <w:i/>
              </w:rPr>
              <w:lastRenderedPageBreak/>
              <w:t>V.A.1</w:t>
            </w:r>
            <w:r>
              <w:rPr>
                <w:rFonts w:cs="Times New Roman"/>
                <w:i/>
              </w:rPr>
              <w:t xml:space="preserve"> </w:t>
            </w:r>
            <w:r w:rsidRPr="00DA17EC">
              <w:rPr>
                <w:rFonts w:cs="Times New Roman"/>
                <w:i/>
              </w:rPr>
              <w:t>Determine the equation of the least-squares regression line and interpret its slope and intercept in context.</w:t>
            </w:r>
          </w:p>
        </w:tc>
        <w:tc>
          <w:tcPr>
            <w:tcW w:w="4590" w:type="dxa"/>
            <w:tcBorders>
              <w:top w:val="single" w:sz="4" w:space="0" w:color="auto"/>
              <w:left w:val="single" w:sz="4" w:space="0" w:color="auto"/>
              <w:bottom w:val="single" w:sz="4" w:space="0" w:color="auto"/>
            </w:tcBorders>
            <w:vAlign w:val="center"/>
          </w:tcPr>
          <w:p w14:paraId="594E6C4F" w14:textId="77777777" w:rsidR="00A52C3C" w:rsidRPr="00A0501E" w:rsidRDefault="00A52C3C" w:rsidP="00527BB7"/>
        </w:tc>
      </w:tr>
    </w:tbl>
    <w:p w14:paraId="594E6C51" w14:textId="77777777" w:rsidR="00A52C3C" w:rsidRDefault="00A52C3C"/>
    <w:p w14:paraId="594E6C52" w14:textId="77777777" w:rsidR="0095004E" w:rsidRDefault="0095004E" w:rsidP="0095004E">
      <w:r>
        <w:t>Comments:</w:t>
      </w:r>
    </w:p>
    <w:p w14:paraId="594E6C53" w14:textId="77777777" w:rsidR="0095004E" w:rsidRDefault="0095004E" w:rsidP="0095004E"/>
    <w:p w14:paraId="594E6C54" w14:textId="77777777" w:rsidR="0095004E" w:rsidRDefault="0095004E" w:rsidP="0095004E"/>
    <w:p w14:paraId="594E6C55" w14:textId="77777777" w:rsidR="0095004E" w:rsidRDefault="0095004E" w:rsidP="0095004E">
      <w:r>
        <w:t xml:space="preserve"> </w:t>
      </w:r>
    </w:p>
    <w:p w14:paraId="594E6C56" w14:textId="77777777" w:rsidR="0095004E" w:rsidRDefault="0095004E" w:rsidP="0095004E"/>
    <w:p w14:paraId="594E6C57" w14:textId="77777777" w:rsidR="0095004E" w:rsidRDefault="0095004E"/>
    <w:sectPr w:rsidR="009500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83D4" w14:textId="77777777" w:rsidR="00B87486" w:rsidRDefault="00B87486" w:rsidP="00F44720">
      <w:pPr>
        <w:spacing w:after="0" w:line="240" w:lineRule="auto"/>
      </w:pPr>
      <w:r>
        <w:separator/>
      </w:r>
    </w:p>
  </w:endnote>
  <w:endnote w:type="continuationSeparator" w:id="0">
    <w:p w14:paraId="233499A1" w14:textId="77777777" w:rsidR="00B87486" w:rsidRDefault="00B87486" w:rsidP="00F4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10350"/>
      <w:docPartObj>
        <w:docPartGallery w:val="Page Numbers (Bottom of Page)"/>
        <w:docPartUnique/>
      </w:docPartObj>
    </w:sdtPr>
    <w:sdtEndPr/>
    <w:sdtContent>
      <w:sdt>
        <w:sdtPr>
          <w:id w:val="-1669238322"/>
          <w:docPartObj>
            <w:docPartGallery w:val="Page Numbers (Top of Page)"/>
            <w:docPartUnique/>
          </w:docPartObj>
        </w:sdtPr>
        <w:sdtEndPr/>
        <w:sdtContent>
          <w:p w14:paraId="594E6C5D" w14:textId="77777777" w:rsidR="00AE6676" w:rsidRDefault="00AE66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A37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37C5">
              <w:rPr>
                <w:b/>
                <w:bCs/>
                <w:noProof/>
              </w:rPr>
              <w:t>5</w:t>
            </w:r>
            <w:r>
              <w:rPr>
                <w:b/>
                <w:bCs/>
                <w:sz w:val="24"/>
                <w:szCs w:val="24"/>
              </w:rPr>
              <w:fldChar w:fldCharType="end"/>
            </w:r>
          </w:p>
        </w:sdtContent>
      </w:sdt>
    </w:sdtContent>
  </w:sdt>
  <w:p w14:paraId="594E6C5E" w14:textId="77777777" w:rsidR="00F44720" w:rsidRDefault="00F4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B0B6" w14:textId="77777777" w:rsidR="00B87486" w:rsidRDefault="00B87486" w:rsidP="00F44720">
      <w:pPr>
        <w:spacing w:after="0" w:line="240" w:lineRule="auto"/>
      </w:pPr>
      <w:r>
        <w:separator/>
      </w:r>
    </w:p>
  </w:footnote>
  <w:footnote w:type="continuationSeparator" w:id="0">
    <w:p w14:paraId="21131254" w14:textId="77777777" w:rsidR="00B87486" w:rsidRDefault="00B87486" w:rsidP="00F4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6C5C" w14:textId="77777777" w:rsidR="00F44720" w:rsidRDefault="00F44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9A2"/>
    <w:multiLevelType w:val="multilevel"/>
    <w:tmpl w:val="2B027116"/>
    <w:lvl w:ilvl="0">
      <w:start w:val="1"/>
      <w:numFmt w:val="upperRoman"/>
      <w:lvlText w:val="%1."/>
      <w:lvlJc w:val="left"/>
      <w:pPr>
        <w:ind w:left="72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23FB0079"/>
    <w:multiLevelType w:val="multilevel"/>
    <w:tmpl w:val="C140291C"/>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54B59AD"/>
    <w:multiLevelType w:val="multilevel"/>
    <w:tmpl w:val="107CD008"/>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FCF5045"/>
    <w:multiLevelType w:val="multilevel"/>
    <w:tmpl w:val="71F8A0D8"/>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BAE274D"/>
    <w:multiLevelType w:val="multilevel"/>
    <w:tmpl w:val="FFC48A62"/>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202287834">
    <w:abstractNumId w:val="0"/>
  </w:num>
  <w:num w:numId="2" w16cid:durableId="456989267">
    <w:abstractNumId w:val="3"/>
  </w:num>
  <w:num w:numId="3" w16cid:durableId="1542983930">
    <w:abstractNumId w:val="4"/>
  </w:num>
  <w:num w:numId="4" w16cid:durableId="1902519512">
    <w:abstractNumId w:val="2"/>
  </w:num>
  <w:num w:numId="5" w16cid:durableId="51546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20"/>
    <w:rsid w:val="00020A53"/>
    <w:rsid w:val="00071760"/>
    <w:rsid w:val="000A0C4F"/>
    <w:rsid w:val="00156FD5"/>
    <w:rsid w:val="00217F67"/>
    <w:rsid w:val="002E1E6A"/>
    <w:rsid w:val="0037175F"/>
    <w:rsid w:val="00401394"/>
    <w:rsid w:val="00426D91"/>
    <w:rsid w:val="004530BF"/>
    <w:rsid w:val="004B47FF"/>
    <w:rsid w:val="004B6033"/>
    <w:rsid w:val="00515C45"/>
    <w:rsid w:val="005552B8"/>
    <w:rsid w:val="005B39AC"/>
    <w:rsid w:val="005B702C"/>
    <w:rsid w:val="00647C59"/>
    <w:rsid w:val="006518A8"/>
    <w:rsid w:val="006E4002"/>
    <w:rsid w:val="007222AC"/>
    <w:rsid w:val="00770B8E"/>
    <w:rsid w:val="00772C2B"/>
    <w:rsid w:val="00784D57"/>
    <w:rsid w:val="00857987"/>
    <w:rsid w:val="008F0D12"/>
    <w:rsid w:val="00932768"/>
    <w:rsid w:val="00943FD4"/>
    <w:rsid w:val="0095004E"/>
    <w:rsid w:val="00971F6E"/>
    <w:rsid w:val="009877AF"/>
    <w:rsid w:val="00A52C3C"/>
    <w:rsid w:val="00A96A0D"/>
    <w:rsid w:val="00AA041A"/>
    <w:rsid w:val="00AE6676"/>
    <w:rsid w:val="00AF6747"/>
    <w:rsid w:val="00B13410"/>
    <w:rsid w:val="00B42B5C"/>
    <w:rsid w:val="00B85F89"/>
    <w:rsid w:val="00B87486"/>
    <w:rsid w:val="00BA37C5"/>
    <w:rsid w:val="00BF0B42"/>
    <w:rsid w:val="00C0410C"/>
    <w:rsid w:val="00C3704F"/>
    <w:rsid w:val="00CB425F"/>
    <w:rsid w:val="00D43080"/>
    <w:rsid w:val="00D70418"/>
    <w:rsid w:val="00D7392F"/>
    <w:rsid w:val="00EA6FA0"/>
    <w:rsid w:val="00F0642B"/>
    <w:rsid w:val="00F44720"/>
    <w:rsid w:val="00FB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6B87"/>
  <w15:docId w15:val="{EE25184C-D076-4E0A-B1CC-DA907CC7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72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720"/>
  </w:style>
  <w:style w:type="paragraph" w:styleId="Footer">
    <w:name w:val="footer"/>
    <w:basedOn w:val="Normal"/>
    <w:link w:val="FooterChar"/>
    <w:uiPriority w:val="99"/>
    <w:unhideWhenUsed/>
    <w:rsid w:val="00F44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20"/>
  </w:style>
  <w:style w:type="character" w:styleId="Hyperlink">
    <w:name w:val="Hyperlink"/>
    <w:basedOn w:val="DefaultParagraphFont"/>
    <w:uiPriority w:val="99"/>
    <w:unhideWhenUsed/>
    <w:rsid w:val="00AE6676"/>
    <w:rPr>
      <w:color w:val="0000FF" w:themeColor="hyperlink"/>
      <w:u w:val="single"/>
    </w:rPr>
  </w:style>
  <w:style w:type="character" w:styleId="UnresolvedMention">
    <w:name w:val="Unresolved Mention"/>
    <w:basedOn w:val="DefaultParagraphFont"/>
    <w:uiPriority w:val="99"/>
    <w:semiHidden/>
    <w:unhideWhenUsed/>
    <w:rsid w:val="00784D57"/>
    <w:rPr>
      <w:color w:val="605E5C"/>
      <w:shd w:val="clear" w:color="auto" w:fill="E1DFDD"/>
    </w:rPr>
  </w:style>
  <w:style w:type="paragraph" w:customStyle="1" w:styleId="Default">
    <w:name w:val="Default"/>
    <w:rsid w:val="00B85F89"/>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ie.Hendricks@dhewd.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Erik</dc:creator>
  <cp:lastModifiedBy>Hendricks, Joie</cp:lastModifiedBy>
  <cp:revision>2</cp:revision>
  <dcterms:created xsi:type="dcterms:W3CDTF">2024-10-08T16:32:00Z</dcterms:created>
  <dcterms:modified xsi:type="dcterms:W3CDTF">2024-10-08T16:32:00Z</dcterms:modified>
</cp:coreProperties>
</file>